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DE0F" w14:textId="1156D492" w:rsidR="00682296" w:rsidRDefault="00682296" w:rsidP="00682296">
      <w:pPr>
        <w:jc w:val="center"/>
        <w:rPr>
          <w:b/>
          <w:color w:val="87212E"/>
          <w:sz w:val="36"/>
        </w:rPr>
      </w:pPr>
      <w:bookmarkStart w:id="0" w:name="_Toc198105415"/>
      <w:bookmarkStart w:id="1" w:name="_Toc125174507"/>
      <w:bookmarkStart w:id="2" w:name="_GoBack"/>
      <w:bookmarkEnd w:id="2"/>
      <w:r w:rsidRPr="00242B82">
        <w:rPr>
          <w:b/>
          <w:color w:val="87212E"/>
          <w:sz w:val="36"/>
        </w:rPr>
        <w:t xml:space="preserve">Organizacja </w:t>
      </w:r>
      <w:r w:rsidR="00C110C7">
        <w:rPr>
          <w:b/>
          <w:color w:val="87212E"/>
          <w:sz w:val="36"/>
        </w:rPr>
        <w:t>i zasady przeprowadzania przez P</w:t>
      </w:r>
      <w:r w:rsidRPr="00242B82">
        <w:rPr>
          <w:b/>
          <w:color w:val="87212E"/>
          <w:sz w:val="36"/>
        </w:rPr>
        <w:t xml:space="preserve">otencjalnych Inwestorów badania </w:t>
      </w:r>
      <w:proofErr w:type="spellStart"/>
      <w:r w:rsidRPr="00242B82">
        <w:rPr>
          <w:b/>
          <w:color w:val="87212E"/>
          <w:sz w:val="36"/>
        </w:rPr>
        <w:t>due</w:t>
      </w:r>
      <w:proofErr w:type="spellEnd"/>
      <w:r w:rsidRPr="00242B82">
        <w:rPr>
          <w:b/>
          <w:color w:val="87212E"/>
          <w:sz w:val="36"/>
        </w:rPr>
        <w:t xml:space="preserve"> </w:t>
      </w:r>
      <w:proofErr w:type="spellStart"/>
      <w:r w:rsidRPr="00242B82">
        <w:rPr>
          <w:b/>
          <w:color w:val="87212E"/>
          <w:sz w:val="36"/>
        </w:rPr>
        <w:t>diligence</w:t>
      </w:r>
      <w:proofErr w:type="spellEnd"/>
      <w:r w:rsidRPr="00242B82">
        <w:rPr>
          <w:b/>
          <w:color w:val="87212E"/>
          <w:sz w:val="36"/>
        </w:rPr>
        <w:t xml:space="preserve"> </w:t>
      </w:r>
      <w:bookmarkEnd w:id="0"/>
      <w:r>
        <w:rPr>
          <w:b/>
          <w:color w:val="87212E"/>
          <w:sz w:val="36"/>
        </w:rPr>
        <w:t xml:space="preserve">nieruchomości </w:t>
      </w:r>
      <w:r w:rsidR="00724C7B">
        <w:rPr>
          <w:b/>
          <w:color w:val="87212E"/>
          <w:sz w:val="36"/>
        </w:rPr>
        <w:t>zlokalizowanej w województwie wielkopolskim, powiecie poznańskim, Gminie Kórnik, miejscowości Robakowo oraz Gminie Kleszczewo, miejscowości Tulce, składającej się z działek gruntu numer 24, 83/3 i 85/3, objętych księgą wieczystą nr PO1D/00028456/5</w:t>
      </w:r>
    </w:p>
    <w:p w14:paraId="1715BC25" w14:textId="77777777" w:rsidR="00682296" w:rsidRDefault="00682296" w:rsidP="00682296">
      <w:pPr>
        <w:spacing w:line="300" w:lineRule="exact"/>
        <w:rPr>
          <w:szCs w:val="20"/>
        </w:rPr>
      </w:pPr>
    </w:p>
    <w:p w14:paraId="37DF90FD" w14:textId="717AA220" w:rsidR="0075664B" w:rsidRDefault="00C110C7" w:rsidP="0075664B">
      <w:pPr>
        <w:pStyle w:val="Akapitzlist"/>
        <w:numPr>
          <w:ilvl w:val="0"/>
          <w:numId w:val="16"/>
        </w:numPr>
        <w:spacing w:before="120" w:line="300" w:lineRule="exact"/>
        <w:ind w:left="357" w:hanging="357"/>
        <w:rPr>
          <w:szCs w:val="20"/>
        </w:rPr>
      </w:pPr>
      <w:r w:rsidRPr="0075664B">
        <w:rPr>
          <w:szCs w:val="20"/>
        </w:rPr>
        <w:t xml:space="preserve">Na podstawie § 6 dokumentu „Warunki przetargu ustnego nieograniczonego na sprzedaż </w:t>
      </w:r>
      <w:r w:rsidR="00724C7B">
        <w:rPr>
          <w:szCs w:val="20"/>
        </w:rPr>
        <w:t xml:space="preserve">części </w:t>
      </w:r>
      <w:r w:rsidRPr="0075664B">
        <w:rPr>
          <w:szCs w:val="20"/>
        </w:rPr>
        <w:t xml:space="preserve">nieruchomości” </w:t>
      </w:r>
      <w:r w:rsidR="005B1CDB" w:rsidRPr="0075664B">
        <w:rPr>
          <w:szCs w:val="20"/>
        </w:rPr>
        <w:t>Zarząd Międzynarodowych Targów Poznańskich sp. z o.o.</w:t>
      </w:r>
      <w:r w:rsidR="004760D8">
        <w:rPr>
          <w:szCs w:val="20"/>
        </w:rPr>
        <w:t xml:space="preserve"> (dalej: „MTP”)</w:t>
      </w:r>
      <w:r w:rsidR="00ED4DB0" w:rsidRPr="0075664B">
        <w:rPr>
          <w:szCs w:val="20"/>
        </w:rPr>
        <w:t xml:space="preserve">, </w:t>
      </w:r>
      <w:r w:rsidRPr="0075664B">
        <w:rPr>
          <w:szCs w:val="20"/>
        </w:rPr>
        <w:t xml:space="preserve">ustala następujące warunki dostępu do dokumentacji dot. </w:t>
      </w:r>
      <w:r w:rsidR="005B1CDB" w:rsidRPr="0075664B">
        <w:rPr>
          <w:szCs w:val="20"/>
        </w:rPr>
        <w:t xml:space="preserve">nieruchomości </w:t>
      </w:r>
      <w:r w:rsidR="00724C7B">
        <w:rPr>
          <w:szCs w:val="20"/>
        </w:rPr>
        <w:t xml:space="preserve">zlokalizowanej w województwie wielkopolskim, powiecie poznańskim, gminie Kórnik miejscowości Robakowo oraz gminie Kleszczewo, miejscowości Tulce, składającej się z działek gruntu numer </w:t>
      </w:r>
      <w:r w:rsidR="00724C7B" w:rsidRPr="00B34A47">
        <w:rPr>
          <w:rFonts w:cs="Arial"/>
          <w:szCs w:val="20"/>
        </w:rPr>
        <w:t>24</w:t>
      </w:r>
      <w:r w:rsidR="00B34A47" w:rsidRPr="00B34A47">
        <w:rPr>
          <w:rFonts w:cs="Arial"/>
          <w:szCs w:val="20"/>
        </w:rPr>
        <w:t xml:space="preserve"> </w:t>
      </w:r>
      <w:bookmarkStart w:id="3" w:name="_Hlk67472276"/>
      <w:r w:rsidR="00B34A47" w:rsidRPr="00B34A47">
        <w:rPr>
          <w:rFonts w:cs="Arial"/>
          <w:szCs w:val="20"/>
        </w:rPr>
        <w:t>(położona w województwie wielkopolskim, powiecie poznańskim, gminie Kórnik, miejscowości Robakowo, obręb ewidencyjny 02109_5.0018 Robakowo, arkusz mapy 1</w:t>
      </w:r>
      <w:bookmarkEnd w:id="3"/>
      <w:r w:rsidR="00B34A47" w:rsidRPr="00B34A47">
        <w:rPr>
          <w:rFonts w:cs="Arial"/>
          <w:szCs w:val="20"/>
        </w:rPr>
        <w:t>)</w:t>
      </w:r>
      <w:r w:rsidR="00724C7B" w:rsidRPr="00B34A47">
        <w:rPr>
          <w:rFonts w:cs="Arial"/>
          <w:szCs w:val="20"/>
        </w:rPr>
        <w:t>, 83/3 i 85/3</w:t>
      </w:r>
      <w:r w:rsidR="00B34A47" w:rsidRPr="00B34A47">
        <w:rPr>
          <w:rFonts w:cs="Arial"/>
          <w:szCs w:val="20"/>
        </w:rPr>
        <w:t xml:space="preserve"> (położone w województwie wielkopolskim, powiecie poznański, gminie Kleszczewo, miejscowości Tulce, obręb ewidencyjny </w:t>
      </w:r>
      <w:r w:rsidR="00C91950">
        <w:rPr>
          <w:rFonts w:eastAsiaTheme="minorHAnsi" w:cs="Arial"/>
          <w:szCs w:val="20"/>
          <w:lang w:eastAsia="en-US"/>
        </w:rPr>
        <w:t>302106_2.0010, Tulce</w:t>
      </w:r>
      <w:r w:rsidR="00B34A47" w:rsidRPr="00B34A47">
        <w:rPr>
          <w:rFonts w:eastAsiaTheme="minorHAnsi" w:cs="Arial"/>
          <w:szCs w:val="20"/>
          <w:lang w:eastAsia="en-US"/>
        </w:rPr>
        <w:t>, arkusz mapy 2</w:t>
      </w:r>
      <w:r w:rsidR="00724C7B" w:rsidRPr="00B34A47">
        <w:rPr>
          <w:rFonts w:cs="Arial"/>
          <w:szCs w:val="20"/>
        </w:rPr>
        <w:t>,</w:t>
      </w:r>
      <w:r w:rsidR="00724C7B">
        <w:rPr>
          <w:szCs w:val="20"/>
        </w:rPr>
        <w:t xml:space="preserve"> objętych księgą wieczystą nr PO1D/00028456/5</w:t>
      </w:r>
      <w:r w:rsidR="001A78EB">
        <w:rPr>
          <w:szCs w:val="20"/>
        </w:rPr>
        <w:t>, o których mowa w ww. dokumencie</w:t>
      </w:r>
      <w:r w:rsidR="00ED4DB0" w:rsidRPr="0075664B">
        <w:rPr>
          <w:szCs w:val="20"/>
        </w:rPr>
        <w:t xml:space="preserve"> (dalej: </w:t>
      </w:r>
      <w:r w:rsidR="004760D8">
        <w:rPr>
          <w:szCs w:val="20"/>
        </w:rPr>
        <w:t>„</w:t>
      </w:r>
      <w:r w:rsidR="00724C7B" w:rsidRPr="00BF7974">
        <w:rPr>
          <w:b/>
          <w:bCs/>
          <w:szCs w:val="20"/>
        </w:rPr>
        <w:t>Nieruchomość</w:t>
      </w:r>
      <w:r w:rsidR="004760D8">
        <w:rPr>
          <w:szCs w:val="20"/>
        </w:rPr>
        <w:t>”</w:t>
      </w:r>
      <w:r w:rsidR="00ED4DB0" w:rsidRPr="0075664B">
        <w:rPr>
          <w:szCs w:val="20"/>
        </w:rPr>
        <w:t xml:space="preserve">), przez Potencjalnych Inwestorów w formie wirtualnego data </w:t>
      </w:r>
      <w:proofErr w:type="spellStart"/>
      <w:r w:rsidR="00ED4DB0" w:rsidRPr="0075664B">
        <w:rPr>
          <w:szCs w:val="20"/>
        </w:rPr>
        <w:t>room</w:t>
      </w:r>
      <w:proofErr w:type="spellEnd"/>
      <w:r w:rsidR="00ED4DB0" w:rsidRPr="0075664B">
        <w:rPr>
          <w:szCs w:val="20"/>
        </w:rPr>
        <w:t xml:space="preserve"> (</w:t>
      </w:r>
      <w:r w:rsidR="004760D8">
        <w:rPr>
          <w:szCs w:val="20"/>
        </w:rPr>
        <w:t>dalej: „</w:t>
      </w:r>
      <w:r w:rsidR="00ED4DB0" w:rsidRPr="00BF7974">
        <w:rPr>
          <w:b/>
          <w:bCs/>
          <w:szCs w:val="20"/>
        </w:rPr>
        <w:t>VDR</w:t>
      </w:r>
      <w:r w:rsidR="004760D8">
        <w:rPr>
          <w:szCs w:val="20"/>
        </w:rPr>
        <w:t>”</w:t>
      </w:r>
      <w:r w:rsidR="00ED4DB0" w:rsidRPr="0075664B">
        <w:rPr>
          <w:szCs w:val="20"/>
        </w:rPr>
        <w:t>).</w:t>
      </w:r>
    </w:p>
    <w:p w14:paraId="16CA0092" w14:textId="1B5EB6B3" w:rsidR="0075664B" w:rsidRDefault="00C110C7" w:rsidP="00F05D8F">
      <w:pPr>
        <w:pStyle w:val="Akapitzlist"/>
        <w:numPr>
          <w:ilvl w:val="0"/>
          <w:numId w:val="16"/>
        </w:numPr>
        <w:spacing w:before="120" w:line="300" w:lineRule="exact"/>
        <w:ind w:left="357" w:hanging="357"/>
        <w:rPr>
          <w:szCs w:val="20"/>
        </w:rPr>
      </w:pPr>
      <w:r w:rsidRPr="0075664B">
        <w:rPr>
          <w:szCs w:val="20"/>
        </w:rPr>
        <w:t xml:space="preserve">Zainteresowanym podmiotom, które od dnia publikacji ogłoszenia w sprawie zbycia </w:t>
      </w:r>
      <w:r w:rsidR="00724C7B">
        <w:rPr>
          <w:szCs w:val="20"/>
        </w:rPr>
        <w:t xml:space="preserve">części </w:t>
      </w:r>
      <w:r w:rsidRPr="0075664B">
        <w:rPr>
          <w:szCs w:val="20"/>
        </w:rPr>
        <w:t xml:space="preserve">Nieruchomości zgłoszą zainteresowanie zakupem </w:t>
      </w:r>
      <w:r w:rsidR="00724C7B">
        <w:rPr>
          <w:szCs w:val="20"/>
        </w:rPr>
        <w:t xml:space="preserve">części </w:t>
      </w:r>
      <w:r w:rsidRPr="0075664B">
        <w:rPr>
          <w:szCs w:val="20"/>
        </w:rPr>
        <w:t>Nieruchomości</w:t>
      </w:r>
      <w:r w:rsidR="0075664B" w:rsidRPr="0075664B">
        <w:rPr>
          <w:szCs w:val="20"/>
        </w:rPr>
        <w:t xml:space="preserve"> zostanie udostępniona dokumen</w:t>
      </w:r>
      <w:r w:rsidR="00C32C93">
        <w:rPr>
          <w:szCs w:val="20"/>
        </w:rPr>
        <w:t>tacja dotycząca Nieruchomości w </w:t>
      </w:r>
      <w:r w:rsidR="0075664B" w:rsidRPr="0075664B">
        <w:rPr>
          <w:szCs w:val="20"/>
        </w:rPr>
        <w:t>formie VDR.</w:t>
      </w:r>
    </w:p>
    <w:p w14:paraId="5E849F87" w14:textId="77777777" w:rsidR="0075664B" w:rsidRPr="0075664B" w:rsidRDefault="0075664B" w:rsidP="00F05D8F">
      <w:pPr>
        <w:pStyle w:val="Akapitzlist"/>
        <w:numPr>
          <w:ilvl w:val="0"/>
          <w:numId w:val="16"/>
        </w:numPr>
        <w:spacing w:before="120" w:line="300" w:lineRule="exact"/>
        <w:ind w:left="357" w:hanging="357"/>
        <w:rPr>
          <w:szCs w:val="20"/>
        </w:rPr>
      </w:pPr>
      <w:r w:rsidRPr="0075664B">
        <w:rPr>
          <w:szCs w:val="20"/>
        </w:rPr>
        <w:t>Warunkiem dostępu do VDR jest:</w:t>
      </w:r>
    </w:p>
    <w:p w14:paraId="20E8EA9E" w14:textId="08AA9293" w:rsidR="0075664B" w:rsidRDefault="0075664B" w:rsidP="0075664B">
      <w:pPr>
        <w:pStyle w:val="Akapitzlist"/>
        <w:numPr>
          <w:ilvl w:val="0"/>
          <w:numId w:val="15"/>
        </w:numPr>
        <w:spacing w:line="300" w:lineRule="exact"/>
        <w:rPr>
          <w:szCs w:val="20"/>
        </w:rPr>
      </w:pPr>
      <w:r>
        <w:rPr>
          <w:szCs w:val="20"/>
        </w:rPr>
        <w:t xml:space="preserve">zgłoszenie zainteresowania </w:t>
      </w:r>
      <w:r w:rsidR="00140284">
        <w:rPr>
          <w:szCs w:val="20"/>
        </w:rPr>
        <w:t xml:space="preserve">zapoznania się z dokumentacją </w:t>
      </w:r>
      <w:r>
        <w:rPr>
          <w:szCs w:val="20"/>
        </w:rPr>
        <w:t xml:space="preserve">na adres: </w:t>
      </w:r>
      <w:r w:rsidR="00B34A47">
        <w:rPr>
          <w:szCs w:val="20"/>
        </w:rPr>
        <w:t>robakowo@grupamtp.pl</w:t>
      </w:r>
      <w:r>
        <w:rPr>
          <w:szCs w:val="20"/>
        </w:rPr>
        <w:t>,</w:t>
      </w:r>
    </w:p>
    <w:p w14:paraId="40694FFC" w14:textId="637BD411" w:rsidR="0075664B" w:rsidRDefault="0075664B" w:rsidP="0075664B">
      <w:pPr>
        <w:pStyle w:val="Akapitzlist"/>
        <w:numPr>
          <w:ilvl w:val="0"/>
          <w:numId w:val="15"/>
        </w:numPr>
        <w:spacing w:line="300" w:lineRule="exact"/>
        <w:rPr>
          <w:szCs w:val="20"/>
        </w:rPr>
      </w:pPr>
      <w:r>
        <w:rPr>
          <w:szCs w:val="20"/>
        </w:rPr>
        <w:t xml:space="preserve">podpisanie </w:t>
      </w:r>
      <w:r w:rsidR="00182A18">
        <w:rPr>
          <w:szCs w:val="20"/>
        </w:rPr>
        <w:t xml:space="preserve">i przesłanie </w:t>
      </w:r>
      <w:r w:rsidR="002468BE">
        <w:rPr>
          <w:szCs w:val="20"/>
        </w:rPr>
        <w:t xml:space="preserve">podpisanego zgodnie z zasadami reprezentacji podmiotu </w:t>
      </w:r>
      <w:r>
        <w:rPr>
          <w:szCs w:val="20"/>
        </w:rPr>
        <w:t>dokumentu „</w:t>
      </w:r>
      <w:r w:rsidR="00991307">
        <w:rPr>
          <w:szCs w:val="20"/>
        </w:rPr>
        <w:t xml:space="preserve">Oświadczenie </w:t>
      </w:r>
      <w:r>
        <w:rPr>
          <w:szCs w:val="20"/>
        </w:rPr>
        <w:t>o zachowaniu poufności”</w:t>
      </w:r>
      <w:r w:rsidR="006B0F8D">
        <w:rPr>
          <w:szCs w:val="20"/>
        </w:rPr>
        <w:t>,</w:t>
      </w:r>
      <w:r>
        <w:rPr>
          <w:szCs w:val="20"/>
        </w:rPr>
        <w:t xml:space="preserve"> stanowiącego załącznik nr 1 do dokumentu </w:t>
      </w:r>
      <w:r w:rsidRPr="0075664B">
        <w:rPr>
          <w:szCs w:val="20"/>
        </w:rPr>
        <w:t xml:space="preserve">„Warunki przetargu ustnego nieograniczonego na sprzedaż </w:t>
      </w:r>
      <w:r w:rsidR="00724C7B">
        <w:rPr>
          <w:szCs w:val="20"/>
        </w:rPr>
        <w:t xml:space="preserve">części </w:t>
      </w:r>
      <w:r w:rsidRPr="0075664B">
        <w:rPr>
          <w:szCs w:val="20"/>
        </w:rPr>
        <w:t>nieruchomości”</w:t>
      </w:r>
      <w:r>
        <w:rPr>
          <w:szCs w:val="20"/>
        </w:rPr>
        <w:t>,</w:t>
      </w:r>
    </w:p>
    <w:p w14:paraId="232E55B5" w14:textId="57E2D1CD" w:rsidR="0075664B" w:rsidRDefault="0075664B" w:rsidP="0075664B">
      <w:pPr>
        <w:pStyle w:val="Akapitzlist"/>
        <w:numPr>
          <w:ilvl w:val="0"/>
          <w:numId w:val="15"/>
        </w:numPr>
        <w:spacing w:line="300" w:lineRule="exact"/>
        <w:rPr>
          <w:szCs w:val="20"/>
        </w:rPr>
      </w:pPr>
      <w:r>
        <w:rPr>
          <w:szCs w:val="20"/>
        </w:rPr>
        <w:t xml:space="preserve">dokonanie wpłaty kwoty </w:t>
      </w:r>
      <w:r w:rsidR="00BF7974">
        <w:rPr>
          <w:szCs w:val="20"/>
        </w:rPr>
        <w:t>1000,00</w:t>
      </w:r>
      <w:r w:rsidR="003244C0">
        <w:rPr>
          <w:szCs w:val="20"/>
        </w:rPr>
        <w:t xml:space="preserve"> (słownie: tysiąc)</w:t>
      </w:r>
      <w:r w:rsidR="00BF7974">
        <w:rPr>
          <w:szCs w:val="20"/>
        </w:rPr>
        <w:t xml:space="preserve"> </w:t>
      </w:r>
      <w:r>
        <w:rPr>
          <w:szCs w:val="20"/>
        </w:rPr>
        <w:t>zł</w:t>
      </w:r>
      <w:r w:rsidR="003244C0">
        <w:rPr>
          <w:szCs w:val="20"/>
        </w:rPr>
        <w:t xml:space="preserve"> </w:t>
      </w:r>
      <w:r>
        <w:rPr>
          <w:szCs w:val="20"/>
        </w:rPr>
        <w:t xml:space="preserve">netto, powiększonej o podatek od towarów i usług VAT w stawce 23% tj. </w:t>
      </w:r>
      <w:r w:rsidR="00BF7974">
        <w:rPr>
          <w:szCs w:val="20"/>
        </w:rPr>
        <w:t>1.230,00</w:t>
      </w:r>
      <w:r w:rsidR="003244C0">
        <w:rPr>
          <w:szCs w:val="20"/>
        </w:rPr>
        <w:t xml:space="preserve"> (słownie: tysiąc dwieście trzydzieści)</w:t>
      </w:r>
      <w:r w:rsidR="00724C7B">
        <w:rPr>
          <w:szCs w:val="20"/>
        </w:rPr>
        <w:t xml:space="preserve"> </w:t>
      </w:r>
      <w:r>
        <w:rPr>
          <w:szCs w:val="20"/>
        </w:rPr>
        <w:t xml:space="preserve">zł brutto na rachunek bankowy spółki Międzynarodowe Targi Poznańskie sp. z o.o. prowadzony w banku </w:t>
      </w:r>
      <w:r w:rsidRPr="0075664B">
        <w:rPr>
          <w:szCs w:val="20"/>
        </w:rPr>
        <w:t>Powszechna Kasa Oszczędności Bank Polski SA</w:t>
      </w:r>
      <w:r>
        <w:rPr>
          <w:szCs w:val="20"/>
        </w:rPr>
        <w:t xml:space="preserve"> nr </w:t>
      </w:r>
      <w:r w:rsidRPr="0075664B">
        <w:rPr>
          <w:szCs w:val="20"/>
        </w:rPr>
        <w:t>38 1020 4027 0000 1102 0424 2962</w:t>
      </w:r>
      <w:r w:rsidR="00B4551A">
        <w:rPr>
          <w:szCs w:val="20"/>
        </w:rPr>
        <w:t xml:space="preserve"> i przesłanie dowodu wpłaty,</w:t>
      </w:r>
    </w:p>
    <w:p w14:paraId="24EF1FD8" w14:textId="77777777" w:rsidR="00B4551A" w:rsidRPr="0075664B" w:rsidRDefault="00B4551A" w:rsidP="00B4551A">
      <w:pPr>
        <w:pStyle w:val="Akapitzlist"/>
        <w:numPr>
          <w:ilvl w:val="0"/>
          <w:numId w:val="15"/>
        </w:numPr>
        <w:spacing w:line="300" w:lineRule="exact"/>
        <w:rPr>
          <w:szCs w:val="20"/>
        </w:rPr>
      </w:pPr>
      <w:r>
        <w:rPr>
          <w:szCs w:val="20"/>
        </w:rPr>
        <w:t xml:space="preserve">przesłanie listy </w:t>
      </w:r>
      <w:r w:rsidRPr="00B4551A">
        <w:rPr>
          <w:szCs w:val="20"/>
        </w:rPr>
        <w:t>osób reprezentujących Potencjalnego Inwestora</w:t>
      </w:r>
      <w:r>
        <w:rPr>
          <w:szCs w:val="20"/>
        </w:rPr>
        <w:t xml:space="preserve"> wraz z wypełnioną tabelą stanowiącą Załącznik nr 1 do niniejszego dokumentu (wypełnienie tabeli jest kluczowe do nadania indywidualnych loginów i haseł uczestnikom </w:t>
      </w:r>
      <w:proofErr w:type="spellStart"/>
      <w:r>
        <w:rPr>
          <w:szCs w:val="20"/>
        </w:rPr>
        <w:t>due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diligence</w:t>
      </w:r>
      <w:proofErr w:type="spellEnd"/>
      <w:r>
        <w:rPr>
          <w:szCs w:val="20"/>
        </w:rPr>
        <w:t xml:space="preserve">). </w:t>
      </w:r>
    </w:p>
    <w:p w14:paraId="793BB18A" w14:textId="2694C016" w:rsidR="00CD0CF3" w:rsidRDefault="00CD0CF3" w:rsidP="00C32C93">
      <w:pPr>
        <w:pStyle w:val="Akapitzlist"/>
        <w:spacing w:line="300" w:lineRule="exact"/>
        <w:ind w:left="360"/>
        <w:rPr>
          <w:szCs w:val="20"/>
        </w:rPr>
      </w:pPr>
      <w:r>
        <w:rPr>
          <w:szCs w:val="20"/>
        </w:rPr>
        <w:t xml:space="preserve">Dokumenty, o których mowa w lit. b) – </w:t>
      </w:r>
      <w:r w:rsidR="005C5EA3">
        <w:rPr>
          <w:szCs w:val="20"/>
        </w:rPr>
        <w:t>d</w:t>
      </w:r>
      <w:r>
        <w:rPr>
          <w:szCs w:val="20"/>
        </w:rPr>
        <w:t xml:space="preserve">) powinny zostać </w:t>
      </w:r>
      <w:r w:rsidR="000369F9">
        <w:rPr>
          <w:szCs w:val="20"/>
        </w:rPr>
        <w:t xml:space="preserve">dostarczone </w:t>
      </w:r>
      <w:r>
        <w:rPr>
          <w:szCs w:val="20"/>
        </w:rPr>
        <w:t xml:space="preserve">na adres MTP: ul. Głogowska 14, </w:t>
      </w:r>
      <w:r w:rsidR="000369F9" w:rsidRPr="000369F9">
        <w:rPr>
          <w:szCs w:val="20"/>
        </w:rPr>
        <w:t>60-734</w:t>
      </w:r>
      <w:r w:rsidR="000369F9">
        <w:rPr>
          <w:szCs w:val="20"/>
        </w:rPr>
        <w:t xml:space="preserve"> Poznań, </w:t>
      </w:r>
      <w:r w:rsidR="00B54AEA">
        <w:rPr>
          <w:szCs w:val="20"/>
        </w:rPr>
        <w:t xml:space="preserve">w kopercie </w:t>
      </w:r>
      <w:r w:rsidR="000369F9">
        <w:rPr>
          <w:szCs w:val="20"/>
        </w:rPr>
        <w:t>z dopiskiem „</w:t>
      </w:r>
      <w:r w:rsidR="00724C7B">
        <w:rPr>
          <w:szCs w:val="20"/>
        </w:rPr>
        <w:t>ROBAKOWO</w:t>
      </w:r>
      <w:r w:rsidR="000369F9">
        <w:rPr>
          <w:szCs w:val="20"/>
        </w:rPr>
        <w:t>”.</w:t>
      </w:r>
    </w:p>
    <w:p w14:paraId="04A563EF" w14:textId="2C05637E" w:rsidR="00ED4DB0" w:rsidRPr="00B4551A" w:rsidRDefault="00ED4DB0" w:rsidP="00B4551A">
      <w:pPr>
        <w:pStyle w:val="Akapitzlist"/>
        <w:numPr>
          <w:ilvl w:val="0"/>
          <w:numId w:val="16"/>
        </w:numPr>
        <w:spacing w:line="300" w:lineRule="exact"/>
        <w:rPr>
          <w:szCs w:val="20"/>
        </w:rPr>
      </w:pPr>
      <w:r w:rsidRPr="00B4551A">
        <w:rPr>
          <w:szCs w:val="20"/>
        </w:rPr>
        <w:t>Każdy Potencjalny Inwestor</w:t>
      </w:r>
      <w:r w:rsidR="005B1CDB" w:rsidRPr="00B4551A">
        <w:rPr>
          <w:szCs w:val="20"/>
        </w:rPr>
        <w:t xml:space="preserve">, który zgłosi chęć nabycia </w:t>
      </w:r>
      <w:r w:rsidR="00724C7B">
        <w:rPr>
          <w:szCs w:val="20"/>
        </w:rPr>
        <w:t xml:space="preserve">części </w:t>
      </w:r>
      <w:r w:rsidR="005B1CDB" w:rsidRPr="00B4551A">
        <w:rPr>
          <w:szCs w:val="20"/>
        </w:rPr>
        <w:t>Nieruchomości</w:t>
      </w:r>
      <w:r w:rsidRPr="00B4551A">
        <w:rPr>
          <w:szCs w:val="20"/>
        </w:rPr>
        <w:t xml:space="preserve"> będzie miał możliwość dokonania przeglądu </w:t>
      </w:r>
      <w:r w:rsidR="005B1CDB" w:rsidRPr="00B4551A">
        <w:rPr>
          <w:szCs w:val="20"/>
        </w:rPr>
        <w:t>dokumentów dotyczących Nieruchomości</w:t>
      </w:r>
      <w:r w:rsidRPr="00B4551A">
        <w:rPr>
          <w:szCs w:val="20"/>
        </w:rPr>
        <w:t xml:space="preserve"> oraz weryfikacji posiadanych o ni</w:t>
      </w:r>
      <w:r w:rsidR="003D0D5D">
        <w:rPr>
          <w:szCs w:val="20"/>
        </w:rPr>
        <w:t>ch</w:t>
      </w:r>
      <w:r w:rsidRPr="00B4551A">
        <w:rPr>
          <w:szCs w:val="20"/>
        </w:rPr>
        <w:t xml:space="preserve"> informacji, samodzielnie bądź przez upoważnionych przedstawicieli.</w:t>
      </w:r>
    </w:p>
    <w:p w14:paraId="57F77FB8" w14:textId="729F98DF" w:rsidR="00ED4DB0" w:rsidRPr="00B4551A" w:rsidRDefault="005B1CDB" w:rsidP="00B4551A">
      <w:pPr>
        <w:pStyle w:val="Akapitzlist"/>
        <w:numPr>
          <w:ilvl w:val="0"/>
          <w:numId w:val="16"/>
        </w:numPr>
        <w:spacing w:line="300" w:lineRule="exact"/>
        <w:rPr>
          <w:szCs w:val="20"/>
        </w:rPr>
      </w:pPr>
      <w:r w:rsidRPr="00B4551A">
        <w:rPr>
          <w:szCs w:val="20"/>
        </w:rPr>
        <w:t>B</w:t>
      </w:r>
      <w:r w:rsidR="00ED4DB0" w:rsidRPr="00B4551A">
        <w:rPr>
          <w:szCs w:val="20"/>
        </w:rPr>
        <w:t xml:space="preserve">adanie </w:t>
      </w:r>
      <w:proofErr w:type="spellStart"/>
      <w:r w:rsidR="00ED4DB0" w:rsidRPr="00B4551A">
        <w:rPr>
          <w:szCs w:val="20"/>
        </w:rPr>
        <w:t>due</w:t>
      </w:r>
      <w:proofErr w:type="spellEnd"/>
      <w:r w:rsidR="00ED4DB0" w:rsidRPr="00B4551A">
        <w:rPr>
          <w:szCs w:val="20"/>
        </w:rPr>
        <w:t xml:space="preserve"> </w:t>
      </w:r>
      <w:proofErr w:type="spellStart"/>
      <w:r w:rsidR="00ED4DB0" w:rsidRPr="00B4551A">
        <w:rPr>
          <w:szCs w:val="20"/>
        </w:rPr>
        <w:t>diligence</w:t>
      </w:r>
      <w:proofErr w:type="spellEnd"/>
      <w:r w:rsidR="00ED4DB0" w:rsidRPr="00B4551A">
        <w:rPr>
          <w:szCs w:val="20"/>
        </w:rPr>
        <w:t xml:space="preserve"> </w:t>
      </w:r>
      <w:r w:rsidR="00B4551A">
        <w:rPr>
          <w:szCs w:val="20"/>
        </w:rPr>
        <w:t>zostanie przeprowadzone w </w:t>
      </w:r>
      <w:r w:rsidR="00ED4DB0" w:rsidRPr="00B4551A">
        <w:rPr>
          <w:szCs w:val="20"/>
        </w:rPr>
        <w:t xml:space="preserve">formie elektronicznej. Każdy z Potencjalnych Inwestorów uzyska wgląd do dokumentów </w:t>
      </w:r>
      <w:r w:rsidRPr="00B4551A">
        <w:rPr>
          <w:szCs w:val="20"/>
        </w:rPr>
        <w:t>Nieruchomości</w:t>
      </w:r>
      <w:r w:rsidR="00B4551A">
        <w:rPr>
          <w:szCs w:val="20"/>
        </w:rPr>
        <w:t xml:space="preserve"> w </w:t>
      </w:r>
      <w:r w:rsidR="00ED4DB0" w:rsidRPr="00B4551A">
        <w:rPr>
          <w:szCs w:val="20"/>
        </w:rPr>
        <w:t>postaci elektronicznej, które będą udostępniane na specjalnie przygoto</w:t>
      </w:r>
      <w:r w:rsidR="00B4551A" w:rsidRPr="00B4551A">
        <w:rPr>
          <w:szCs w:val="20"/>
        </w:rPr>
        <w:t>wanej platformie VDR</w:t>
      </w:r>
      <w:r w:rsidR="00ED4DB0" w:rsidRPr="00B4551A">
        <w:rPr>
          <w:szCs w:val="20"/>
        </w:rPr>
        <w:t>, przy użyciu przeglądarki internetowej po wcześniejszym zalogowaniu.</w:t>
      </w:r>
      <w:r w:rsidR="000762C8" w:rsidRPr="00B4551A">
        <w:rPr>
          <w:szCs w:val="20"/>
        </w:rPr>
        <w:t xml:space="preserve"> Ponadto każdy z Potencjalnych Inwestorów będzie miał możliwość przeprowadzenia </w:t>
      </w:r>
      <w:r w:rsidRPr="00B4551A">
        <w:rPr>
          <w:szCs w:val="20"/>
        </w:rPr>
        <w:t>wizji lokalnej Nieruchomości</w:t>
      </w:r>
      <w:r w:rsidR="00754E6C">
        <w:rPr>
          <w:szCs w:val="20"/>
        </w:rPr>
        <w:t xml:space="preserve"> w </w:t>
      </w:r>
      <w:r w:rsidR="000762C8" w:rsidRPr="00B4551A">
        <w:rPr>
          <w:szCs w:val="20"/>
        </w:rPr>
        <w:t xml:space="preserve">wyznaczonym terminie w celu </w:t>
      </w:r>
      <w:r w:rsidR="0036229D" w:rsidRPr="00B4551A">
        <w:rPr>
          <w:szCs w:val="20"/>
        </w:rPr>
        <w:t>oględzin</w:t>
      </w:r>
      <w:r w:rsidR="000762C8" w:rsidRPr="00B4551A">
        <w:rPr>
          <w:szCs w:val="20"/>
        </w:rPr>
        <w:t xml:space="preserve"> </w:t>
      </w:r>
      <w:r w:rsidRPr="00B4551A">
        <w:rPr>
          <w:szCs w:val="20"/>
        </w:rPr>
        <w:t xml:space="preserve">Nieruchomości </w:t>
      </w:r>
      <w:r w:rsidRPr="00B34A47">
        <w:rPr>
          <w:szCs w:val="20"/>
        </w:rPr>
        <w:t>oraz zlokalizowanych na ni</w:t>
      </w:r>
      <w:r w:rsidR="008E2977" w:rsidRPr="00B34A47">
        <w:rPr>
          <w:szCs w:val="20"/>
        </w:rPr>
        <w:t>ch</w:t>
      </w:r>
      <w:r w:rsidRPr="00B34A47">
        <w:rPr>
          <w:szCs w:val="20"/>
        </w:rPr>
        <w:t xml:space="preserve"> budynków i budowli.</w:t>
      </w:r>
    </w:p>
    <w:p w14:paraId="4CEBA304" w14:textId="015D3CA8" w:rsidR="00ED4DB0" w:rsidRPr="00B4551A" w:rsidRDefault="00E43CDD" w:rsidP="00B4551A">
      <w:pPr>
        <w:pStyle w:val="Akapitzlist"/>
        <w:numPr>
          <w:ilvl w:val="0"/>
          <w:numId w:val="16"/>
        </w:numPr>
        <w:spacing w:line="300" w:lineRule="exact"/>
        <w:rPr>
          <w:szCs w:val="20"/>
        </w:rPr>
      </w:pPr>
      <w:r w:rsidRPr="00B4551A">
        <w:rPr>
          <w:szCs w:val="20"/>
        </w:rPr>
        <w:lastRenderedPageBreak/>
        <w:t xml:space="preserve">Dostęp do VDR zostanie nadany niezwłocznie po spełnieniu warunków o których mowa </w:t>
      </w:r>
      <w:r w:rsidR="00B4551A">
        <w:rPr>
          <w:szCs w:val="20"/>
        </w:rPr>
        <w:t>w punkcie</w:t>
      </w:r>
      <w:r w:rsidR="0020792B">
        <w:rPr>
          <w:szCs w:val="20"/>
        </w:rPr>
        <w:t xml:space="preserve"> 3 powyżej, nie wcześniej niż </w:t>
      </w:r>
      <w:r w:rsidR="00C91950">
        <w:rPr>
          <w:szCs w:val="20"/>
        </w:rPr>
        <w:t>1</w:t>
      </w:r>
      <w:r w:rsidR="00D87BEC">
        <w:rPr>
          <w:szCs w:val="20"/>
        </w:rPr>
        <w:t>5</w:t>
      </w:r>
      <w:r w:rsidR="00C91950">
        <w:rPr>
          <w:szCs w:val="20"/>
        </w:rPr>
        <w:t xml:space="preserve"> kwietnia</w:t>
      </w:r>
      <w:r w:rsidR="00724C7B">
        <w:rPr>
          <w:szCs w:val="20"/>
        </w:rPr>
        <w:t xml:space="preserve"> 2021</w:t>
      </w:r>
      <w:r w:rsidR="00C91950">
        <w:rPr>
          <w:szCs w:val="20"/>
        </w:rPr>
        <w:t xml:space="preserve"> r. o godz. 10</w:t>
      </w:r>
      <w:r w:rsidR="00B4551A">
        <w:rPr>
          <w:szCs w:val="20"/>
        </w:rPr>
        <w:t>:00.</w:t>
      </w:r>
    </w:p>
    <w:p w14:paraId="19012AAA" w14:textId="77777777" w:rsidR="00C91950" w:rsidRDefault="00C91950" w:rsidP="00B4551A">
      <w:pPr>
        <w:spacing w:line="300" w:lineRule="exact"/>
        <w:jc w:val="center"/>
        <w:rPr>
          <w:b/>
          <w:szCs w:val="20"/>
        </w:rPr>
      </w:pPr>
    </w:p>
    <w:p w14:paraId="65644811" w14:textId="77777777" w:rsidR="00E43CDD" w:rsidRDefault="00B4551A" w:rsidP="00B4551A">
      <w:pPr>
        <w:spacing w:line="300" w:lineRule="exact"/>
        <w:jc w:val="center"/>
        <w:rPr>
          <w:b/>
          <w:szCs w:val="20"/>
        </w:rPr>
      </w:pPr>
      <w:r w:rsidRPr="00B4551A">
        <w:rPr>
          <w:b/>
          <w:szCs w:val="20"/>
        </w:rPr>
        <w:t>ORGANIZACJA PROCESU DUE DILIGENCE</w:t>
      </w:r>
    </w:p>
    <w:p w14:paraId="532D9655" w14:textId="77777777" w:rsidR="00B4551A" w:rsidRPr="00B4551A" w:rsidRDefault="00B4551A" w:rsidP="00B4551A">
      <w:pPr>
        <w:spacing w:line="300" w:lineRule="exact"/>
        <w:jc w:val="center"/>
        <w:rPr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8272"/>
      </w:tblGrid>
      <w:tr w:rsidR="00ED4DB0" w:rsidRPr="00D87BEC" w14:paraId="3866E830" w14:textId="77777777" w:rsidTr="00B4551A">
        <w:trPr>
          <w:trHeight w:val="141"/>
        </w:trPr>
        <w:tc>
          <w:tcPr>
            <w:tcW w:w="1926" w:type="dxa"/>
            <w:shd w:val="clear" w:color="auto" w:fill="FFC000"/>
            <w:vAlign w:val="center"/>
          </w:tcPr>
          <w:p w14:paraId="16ED12C6" w14:textId="77777777" w:rsidR="00ED4DB0" w:rsidRDefault="00ED4DB0" w:rsidP="0084014F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Koordynacja badania</w:t>
            </w:r>
          </w:p>
        </w:tc>
        <w:tc>
          <w:tcPr>
            <w:tcW w:w="8272" w:type="dxa"/>
          </w:tcPr>
          <w:p w14:paraId="1FF5EBE1" w14:textId="7DAC0FFE" w:rsidR="00ED4DB0" w:rsidRPr="00724C7B" w:rsidRDefault="00ED4DB0" w:rsidP="005B1CDB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Koordynator badania ze strony </w:t>
            </w:r>
            <w:r w:rsidR="005B1CDB">
              <w:rPr>
                <w:szCs w:val="20"/>
              </w:rPr>
              <w:t>MTP</w:t>
            </w:r>
            <w:r w:rsidR="008E2977">
              <w:rPr>
                <w:szCs w:val="20"/>
              </w:rPr>
              <w:t>:</w:t>
            </w:r>
            <w:r w:rsidR="005B1CD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Piotr Krasiński, tel. </w:t>
            </w:r>
            <w:r w:rsidRPr="00724C7B">
              <w:rPr>
                <w:szCs w:val="20"/>
                <w:lang w:val="en-US"/>
              </w:rPr>
              <w:t>(6</w:t>
            </w:r>
            <w:r w:rsidR="005B1CDB" w:rsidRPr="00724C7B">
              <w:rPr>
                <w:szCs w:val="20"/>
                <w:lang w:val="en-US"/>
              </w:rPr>
              <w:t xml:space="preserve">1) 869 22 17, M: 609 297 544, </w:t>
            </w:r>
            <w:r w:rsidRPr="00724C7B">
              <w:rPr>
                <w:szCs w:val="20"/>
                <w:lang w:val="en-US"/>
              </w:rPr>
              <w:t xml:space="preserve">e-mail: </w:t>
            </w:r>
            <w:hyperlink r:id="rId8" w:history="1">
              <w:r w:rsidR="005B1CDB" w:rsidRPr="00724C7B">
                <w:rPr>
                  <w:rStyle w:val="Hipercze"/>
                  <w:lang w:val="en-US"/>
                </w:rPr>
                <w:t>piotr.krasinski@grupamtp.pl</w:t>
              </w:r>
            </w:hyperlink>
          </w:p>
        </w:tc>
      </w:tr>
      <w:tr w:rsidR="00ED4DB0" w:rsidRPr="00AA7BE8" w14:paraId="21F2E041" w14:textId="77777777" w:rsidTr="00B4551A">
        <w:trPr>
          <w:trHeight w:val="141"/>
        </w:trPr>
        <w:tc>
          <w:tcPr>
            <w:tcW w:w="1926" w:type="dxa"/>
            <w:shd w:val="clear" w:color="auto" w:fill="FFC000"/>
            <w:vAlign w:val="center"/>
          </w:tcPr>
          <w:p w14:paraId="5EE63DEC" w14:textId="77777777" w:rsidR="00ED4DB0" w:rsidRPr="00AA7BE8" w:rsidRDefault="00ED4DB0" w:rsidP="0084014F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Wirtualny Data </w:t>
            </w:r>
            <w:proofErr w:type="spellStart"/>
            <w:r>
              <w:rPr>
                <w:szCs w:val="20"/>
              </w:rPr>
              <w:t>R</w:t>
            </w:r>
            <w:r w:rsidRPr="00AA7BE8">
              <w:rPr>
                <w:szCs w:val="20"/>
              </w:rPr>
              <w:t>oom</w:t>
            </w:r>
            <w:proofErr w:type="spellEnd"/>
          </w:p>
        </w:tc>
        <w:tc>
          <w:tcPr>
            <w:tcW w:w="8272" w:type="dxa"/>
          </w:tcPr>
          <w:p w14:paraId="41E26153" w14:textId="3C70CC36" w:rsidR="00ED4DB0" w:rsidRPr="00AA7BE8" w:rsidRDefault="00701B79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ED4DB0" w:rsidRPr="00AA7BE8">
              <w:rPr>
                <w:szCs w:val="20"/>
              </w:rPr>
              <w:t>twarcie wirtual</w:t>
            </w:r>
            <w:r w:rsidR="003244C0">
              <w:rPr>
                <w:szCs w:val="20"/>
              </w:rPr>
              <w:t xml:space="preserve">nego data </w:t>
            </w:r>
            <w:proofErr w:type="spellStart"/>
            <w:r w:rsidR="003244C0">
              <w:rPr>
                <w:szCs w:val="20"/>
              </w:rPr>
              <w:t>room</w:t>
            </w:r>
            <w:proofErr w:type="spellEnd"/>
            <w:r w:rsidR="003244C0">
              <w:rPr>
                <w:szCs w:val="20"/>
              </w:rPr>
              <w:t xml:space="preserve"> – środa 1</w:t>
            </w:r>
            <w:r w:rsidR="00AE4D59">
              <w:rPr>
                <w:szCs w:val="20"/>
              </w:rPr>
              <w:t>4</w:t>
            </w:r>
            <w:r w:rsidR="00C91950">
              <w:rPr>
                <w:szCs w:val="20"/>
              </w:rPr>
              <w:t xml:space="preserve"> kwietnia</w:t>
            </w:r>
            <w:r w:rsidR="00B4551A">
              <w:rPr>
                <w:szCs w:val="20"/>
              </w:rPr>
              <w:t xml:space="preserve"> </w:t>
            </w:r>
            <w:r w:rsidR="00724C7B">
              <w:rPr>
                <w:szCs w:val="20"/>
              </w:rPr>
              <w:t>2021</w:t>
            </w:r>
            <w:r w:rsidR="00C91950">
              <w:rPr>
                <w:szCs w:val="20"/>
              </w:rPr>
              <w:t xml:space="preserve"> roku godz. 10</w:t>
            </w:r>
            <w:r w:rsidR="00ED4DB0" w:rsidRPr="00AA7BE8">
              <w:rPr>
                <w:szCs w:val="20"/>
              </w:rPr>
              <w:t>:00</w:t>
            </w:r>
            <w:r w:rsidR="00ED4DB0">
              <w:rPr>
                <w:szCs w:val="20"/>
              </w:rPr>
              <w:t>.</w:t>
            </w:r>
          </w:p>
          <w:p w14:paraId="24BC77C8" w14:textId="6255880B" w:rsidR="00ED4DB0" w:rsidRPr="00AA7BE8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 w:rsidRPr="00701B79">
              <w:rPr>
                <w:szCs w:val="20"/>
              </w:rPr>
              <w:t xml:space="preserve">Godziny dostępności – 24h na dobę, 7 dni w tygodniu, w okresie od </w:t>
            </w:r>
            <w:r w:rsidR="00C91950">
              <w:rPr>
                <w:szCs w:val="20"/>
              </w:rPr>
              <w:t>1</w:t>
            </w:r>
            <w:r w:rsidR="00D87BEC">
              <w:rPr>
                <w:szCs w:val="20"/>
              </w:rPr>
              <w:t>5</w:t>
            </w:r>
            <w:r w:rsidR="00C91950">
              <w:rPr>
                <w:szCs w:val="20"/>
              </w:rPr>
              <w:t xml:space="preserve"> kwietnia</w:t>
            </w:r>
            <w:r w:rsidR="00724C7B">
              <w:rPr>
                <w:szCs w:val="20"/>
              </w:rPr>
              <w:t xml:space="preserve"> 2021</w:t>
            </w:r>
            <w:r w:rsidR="00C91950">
              <w:rPr>
                <w:szCs w:val="20"/>
              </w:rPr>
              <w:t xml:space="preserve"> roku (środa</w:t>
            </w:r>
            <w:r w:rsidR="00362DA0">
              <w:rPr>
                <w:szCs w:val="20"/>
              </w:rPr>
              <w:t>) od godz. 10</w:t>
            </w:r>
            <w:r w:rsidR="00B4551A">
              <w:rPr>
                <w:szCs w:val="20"/>
              </w:rPr>
              <w:t>:00 do dnia zaplanowanego ustnego przetargu nieograniczonego</w:t>
            </w:r>
            <w:r>
              <w:rPr>
                <w:szCs w:val="20"/>
              </w:rPr>
              <w:t>.</w:t>
            </w:r>
          </w:p>
          <w:p w14:paraId="6D4C0A32" w14:textId="77777777" w:rsidR="002C41D5" w:rsidRPr="002C41D5" w:rsidRDefault="002C41D5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 w:rsidRPr="002C41D5">
              <w:rPr>
                <w:szCs w:val="20"/>
              </w:rPr>
              <w:t xml:space="preserve">W celu usprawnienia procesu badania VDR, uprzejmie prosimy o wypełnienie tabeli, stanowiącej Załącznik nr 1 do niniejszego dokumentu, zawierającej wykaz osób uczestniczących w </w:t>
            </w:r>
            <w:proofErr w:type="spellStart"/>
            <w:r w:rsidRPr="002C41D5">
              <w:rPr>
                <w:szCs w:val="20"/>
              </w:rPr>
              <w:t>due</w:t>
            </w:r>
            <w:proofErr w:type="spellEnd"/>
            <w:r w:rsidRPr="002C41D5">
              <w:rPr>
                <w:szCs w:val="20"/>
              </w:rPr>
              <w:t xml:space="preserve"> </w:t>
            </w:r>
            <w:proofErr w:type="spellStart"/>
            <w:r w:rsidRPr="002C41D5">
              <w:rPr>
                <w:szCs w:val="20"/>
              </w:rPr>
              <w:t>diligence</w:t>
            </w:r>
            <w:proofErr w:type="spellEnd"/>
            <w:r>
              <w:rPr>
                <w:szCs w:val="20"/>
              </w:rPr>
              <w:t>.</w:t>
            </w:r>
          </w:p>
          <w:p w14:paraId="19301880" w14:textId="71BDD5EF" w:rsidR="00B463AC" w:rsidRDefault="00B463AC" w:rsidP="00B463AC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Po otrzymaniu kompletu podpisanych</w:t>
            </w:r>
            <w:r w:rsidR="0077149E">
              <w:rPr>
                <w:szCs w:val="20"/>
              </w:rPr>
              <w:t xml:space="preserve"> (pocztą) lub opatrzonych podpisem elektronicznym (kwalifikowanym lub profilem zaufanym) – e-mailem na adres: </w:t>
            </w:r>
            <w:r w:rsidR="001F77D0">
              <w:rPr>
                <w:szCs w:val="20"/>
              </w:rPr>
              <w:t>robakowo</w:t>
            </w:r>
            <w:r w:rsidR="0077149E">
              <w:rPr>
                <w:szCs w:val="20"/>
              </w:rPr>
              <w:t>@grupamtp.pl</w:t>
            </w:r>
            <w:r>
              <w:rPr>
                <w:szCs w:val="20"/>
              </w:rPr>
              <w:t xml:space="preserve">, przez osoby upoważnione do reprezentacji Potencjalnego Inwestora, dokumentów o których mowa w punkcie 3 powyżej, Potencjalnemu Inwestorowi oraz jego przedstawicielom wskazanym w Załączniku nr 1 zostanie nadany dostęp do VDR. </w:t>
            </w:r>
          </w:p>
          <w:p w14:paraId="6528B58C" w14:textId="2615C06A" w:rsidR="00ED4DB0" w:rsidRPr="00B463AC" w:rsidRDefault="00930C90" w:rsidP="00B463AC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2C41D5" w:rsidRPr="00B463AC">
              <w:rPr>
                <w:szCs w:val="20"/>
              </w:rPr>
              <w:t>ozpoczęcie badania w wyznaczonym</w:t>
            </w:r>
            <w:r w:rsidR="00B463AC">
              <w:rPr>
                <w:szCs w:val="20"/>
              </w:rPr>
              <w:t>/oczekiwanym przez Potencjalnego Inwestora</w:t>
            </w:r>
            <w:r w:rsidR="002C41D5" w:rsidRPr="00B463AC">
              <w:rPr>
                <w:szCs w:val="20"/>
              </w:rPr>
              <w:t xml:space="preserve"> terminie</w:t>
            </w:r>
            <w:r>
              <w:rPr>
                <w:szCs w:val="20"/>
              </w:rPr>
              <w:t xml:space="preserve"> uzależnione jest od terminu dostarczenia ww. dokumentów do MTP</w:t>
            </w:r>
            <w:r w:rsidR="002C41D5" w:rsidRPr="00B463AC">
              <w:rPr>
                <w:szCs w:val="20"/>
              </w:rPr>
              <w:t>.</w:t>
            </w:r>
          </w:p>
          <w:p w14:paraId="65C9ADE6" w14:textId="1E9F8FBF" w:rsidR="002C41D5" w:rsidRDefault="002C41D5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Każdy z Potencjalnych Inwestorów uzyska dostęp do aplikacji dla</w:t>
            </w:r>
            <w:r w:rsidR="00701B79">
              <w:rPr>
                <w:szCs w:val="20"/>
              </w:rPr>
              <w:t xml:space="preserve"> maksymalnie</w:t>
            </w:r>
            <w:r>
              <w:rPr>
                <w:szCs w:val="20"/>
              </w:rPr>
              <w:t xml:space="preserve"> </w:t>
            </w:r>
            <w:r w:rsidR="00C91950">
              <w:rPr>
                <w:szCs w:val="20"/>
              </w:rPr>
              <w:t>2</w:t>
            </w:r>
            <w:r>
              <w:rPr>
                <w:szCs w:val="20"/>
              </w:rPr>
              <w:t xml:space="preserve"> osób (</w:t>
            </w:r>
            <w:r w:rsidR="00C91950">
              <w:rPr>
                <w:szCs w:val="20"/>
              </w:rPr>
              <w:t>2</w:t>
            </w:r>
            <w:r>
              <w:rPr>
                <w:szCs w:val="20"/>
              </w:rPr>
              <w:t xml:space="preserve"> login</w:t>
            </w:r>
            <w:r w:rsidR="001F77D0">
              <w:rPr>
                <w:szCs w:val="20"/>
              </w:rPr>
              <w:t>y</w:t>
            </w:r>
            <w:r>
              <w:rPr>
                <w:szCs w:val="20"/>
              </w:rPr>
              <w:t xml:space="preserve"> i has</w:t>
            </w:r>
            <w:r w:rsidR="001F77D0">
              <w:rPr>
                <w:szCs w:val="20"/>
              </w:rPr>
              <w:t>ła</w:t>
            </w:r>
            <w:r>
              <w:rPr>
                <w:szCs w:val="20"/>
              </w:rPr>
              <w:t>).</w:t>
            </w:r>
          </w:p>
          <w:p w14:paraId="05213BEE" w14:textId="77777777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Zabronione jest udostępnianie loginów i haseł osobom nieuczestniczącym w </w:t>
            </w:r>
            <w:r w:rsidR="002C41D5">
              <w:rPr>
                <w:szCs w:val="20"/>
              </w:rPr>
              <w:t xml:space="preserve">badaniu </w:t>
            </w:r>
            <w:proofErr w:type="spellStart"/>
            <w:r>
              <w:rPr>
                <w:szCs w:val="20"/>
              </w:rPr>
              <w:t>due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diligence</w:t>
            </w:r>
            <w:proofErr w:type="spellEnd"/>
            <w:r>
              <w:rPr>
                <w:szCs w:val="20"/>
              </w:rPr>
              <w:t>.</w:t>
            </w:r>
          </w:p>
          <w:p w14:paraId="6704D819" w14:textId="2B836858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W ramach VDR znajdować się bę</w:t>
            </w:r>
            <w:r w:rsidR="0036229D">
              <w:rPr>
                <w:szCs w:val="20"/>
              </w:rPr>
              <w:t>dą dokumenty wyszczególnione w I</w:t>
            </w:r>
            <w:r>
              <w:rPr>
                <w:szCs w:val="20"/>
              </w:rPr>
              <w:t xml:space="preserve">ndeksie Dokumentów, który zostanie dostarczony Potencjalnym Inwestorom </w:t>
            </w:r>
            <w:r w:rsidR="000762C8">
              <w:rPr>
                <w:szCs w:val="20"/>
              </w:rPr>
              <w:t>w osobnym dokumencie.</w:t>
            </w:r>
          </w:p>
          <w:p w14:paraId="3FE33197" w14:textId="6EE3B41A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Każd</w:t>
            </w:r>
            <w:r w:rsidR="00930C90">
              <w:rPr>
                <w:szCs w:val="20"/>
              </w:rPr>
              <w:t>emu</w:t>
            </w:r>
            <w:r>
              <w:rPr>
                <w:szCs w:val="20"/>
              </w:rPr>
              <w:t xml:space="preserve"> Potencjaln</w:t>
            </w:r>
            <w:r w:rsidR="00930C90">
              <w:rPr>
                <w:szCs w:val="20"/>
              </w:rPr>
              <w:t>emu</w:t>
            </w:r>
            <w:r>
              <w:rPr>
                <w:szCs w:val="20"/>
              </w:rPr>
              <w:t xml:space="preserve"> Inwestor</w:t>
            </w:r>
            <w:r w:rsidR="00930C90">
              <w:rPr>
                <w:szCs w:val="20"/>
              </w:rPr>
              <w:t>owi</w:t>
            </w:r>
            <w:r>
              <w:rPr>
                <w:szCs w:val="20"/>
              </w:rPr>
              <w:t xml:space="preserve"> </w:t>
            </w:r>
            <w:r w:rsidR="00930C90">
              <w:rPr>
                <w:szCs w:val="20"/>
              </w:rPr>
              <w:t xml:space="preserve">udostępniony zostanie VDR zawierający </w:t>
            </w:r>
            <w:r>
              <w:rPr>
                <w:szCs w:val="20"/>
              </w:rPr>
              <w:t>taki sam komple</w:t>
            </w:r>
            <w:r w:rsidR="00930C90">
              <w:rPr>
                <w:szCs w:val="20"/>
              </w:rPr>
              <w:t>t</w:t>
            </w:r>
            <w:r>
              <w:rPr>
                <w:szCs w:val="20"/>
              </w:rPr>
              <w:t xml:space="preserve"> dokumentów.</w:t>
            </w:r>
          </w:p>
          <w:p w14:paraId="09F24706" w14:textId="77777777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Wszystkie dokumenty będą udostępniane </w:t>
            </w:r>
            <w:r w:rsidR="00B463AC">
              <w:rPr>
                <w:szCs w:val="20"/>
              </w:rPr>
              <w:t>Potencjalnym Inwestorom z możliwością ich drukowania. Zastrzega się jednak możliwość, że wybrane dokumenty zostaną pozbawione możliwości wydruku lub zapisu i będą dostępne wyłącznie do odczytu.</w:t>
            </w:r>
          </w:p>
          <w:p w14:paraId="2E9B6A80" w14:textId="77777777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W przypadku dokumentów ogólnodostępnych znajdujących się</w:t>
            </w:r>
            <w:r w:rsidR="00B43FD0">
              <w:rPr>
                <w:szCs w:val="20"/>
              </w:rPr>
              <w:t xml:space="preserve"> w </w:t>
            </w:r>
            <w:r>
              <w:rPr>
                <w:szCs w:val="20"/>
              </w:rPr>
              <w:t>rejestrach, archiwach i innych zbiorach, udostępnianie może polegać także na udzieleniu informacji o miejscu ich przechowywania i określeniu danych identyfikacyjnych dokumentu.</w:t>
            </w:r>
          </w:p>
          <w:p w14:paraId="1B51889E" w14:textId="2F26D6EF" w:rsidR="00ED4DB0" w:rsidRPr="004371B6" w:rsidRDefault="00ED4DB0" w:rsidP="00B463AC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Naruszenie </w:t>
            </w:r>
            <w:r w:rsidR="0036229D">
              <w:rPr>
                <w:szCs w:val="20"/>
              </w:rPr>
              <w:t>zasad określonych w niniejszym dokumencie</w:t>
            </w:r>
            <w:r w:rsidR="002C41D5">
              <w:rPr>
                <w:szCs w:val="20"/>
              </w:rPr>
              <w:t xml:space="preserve"> oraz </w:t>
            </w:r>
            <w:r w:rsidR="00FA757F">
              <w:rPr>
                <w:szCs w:val="20"/>
              </w:rPr>
              <w:t>oświadczeniu</w:t>
            </w:r>
            <w:r w:rsidR="008D764A">
              <w:rPr>
                <w:szCs w:val="20"/>
              </w:rPr>
              <w:t xml:space="preserve"> o</w:t>
            </w:r>
            <w:r w:rsidR="00C32C93">
              <w:rPr>
                <w:szCs w:val="20"/>
              </w:rPr>
              <w:t> </w:t>
            </w:r>
            <w:r>
              <w:rPr>
                <w:szCs w:val="20"/>
              </w:rPr>
              <w:t>zachowani</w:t>
            </w:r>
            <w:r w:rsidR="008D764A">
              <w:rPr>
                <w:szCs w:val="20"/>
              </w:rPr>
              <w:t>u</w:t>
            </w:r>
            <w:r>
              <w:rPr>
                <w:szCs w:val="20"/>
              </w:rPr>
              <w:t xml:space="preserve"> poufności będzie stanowiło podstawę do wykluczenia Pot</w:t>
            </w:r>
            <w:r w:rsidR="00B463AC">
              <w:rPr>
                <w:szCs w:val="20"/>
              </w:rPr>
              <w:t>encjalnego Inwestora z procesu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due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diligence</w:t>
            </w:r>
            <w:proofErr w:type="spellEnd"/>
            <w:r w:rsidR="002C41D5">
              <w:rPr>
                <w:szCs w:val="20"/>
              </w:rPr>
              <w:t xml:space="preserve"> i w kon</w:t>
            </w:r>
            <w:r w:rsidR="00B43FD0">
              <w:rPr>
                <w:szCs w:val="20"/>
              </w:rPr>
              <w:t xml:space="preserve">sekwencji z procesu zbycia </w:t>
            </w:r>
            <w:r w:rsidR="00724C7B">
              <w:rPr>
                <w:szCs w:val="20"/>
              </w:rPr>
              <w:t xml:space="preserve">części </w:t>
            </w:r>
            <w:r w:rsidR="00B43FD0">
              <w:rPr>
                <w:szCs w:val="20"/>
              </w:rPr>
              <w:t>Nieruchomości</w:t>
            </w:r>
            <w:r w:rsidR="002C41D5">
              <w:rPr>
                <w:szCs w:val="20"/>
              </w:rPr>
              <w:t xml:space="preserve">. </w:t>
            </w:r>
          </w:p>
        </w:tc>
      </w:tr>
      <w:tr w:rsidR="00ED4DB0" w:rsidRPr="00AA7BE8" w14:paraId="29CC6115" w14:textId="77777777" w:rsidTr="00B4551A">
        <w:trPr>
          <w:trHeight w:val="141"/>
        </w:trPr>
        <w:tc>
          <w:tcPr>
            <w:tcW w:w="1926" w:type="dxa"/>
            <w:shd w:val="clear" w:color="auto" w:fill="FFC000"/>
            <w:vAlign w:val="center"/>
          </w:tcPr>
          <w:p w14:paraId="7D91E2B2" w14:textId="77777777" w:rsidR="00ED4DB0" w:rsidRPr="00AA7BE8" w:rsidRDefault="00ED4DB0" w:rsidP="0084014F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Q&amp;A</w:t>
            </w:r>
          </w:p>
        </w:tc>
        <w:tc>
          <w:tcPr>
            <w:tcW w:w="8272" w:type="dxa"/>
          </w:tcPr>
          <w:p w14:paraId="60B2B2A2" w14:textId="77777777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W ramach VDR będzie możliwe zadawanie pytań do dokumentów zgromadzonych w data </w:t>
            </w:r>
            <w:proofErr w:type="spellStart"/>
            <w:r>
              <w:rPr>
                <w:szCs w:val="20"/>
              </w:rPr>
              <w:t>room</w:t>
            </w:r>
            <w:proofErr w:type="spellEnd"/>
            <w:r>
              <w:rPr>
                <w:szCs w:val="20"/>
              </w:rPr>
              <w:t xml:space="preserve">. </w:t>
            </w:r>
          </w:p>
          <w:p w14:paraId="427BE750" w14:textId="25539428" w:rsidR="00ED4DB0" w:rsidRPr="00EE3BFB" w:rsidRDefault="000762C8" w:rsidP="00EE3BFB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K</w:t>
            </w:r>
            <w:r w:rsidR="00ED4DB0">
              <w:rPr>
                <w:szCs w:val="20"/>
              </w:rPr>
              <w:t xml:space="preserve">ażdy z Potencjalnych Inwestorów w terminie do dnia </w:t>
            </w:r>
            <w:r w:rsidR="00C91950">
              <w:rPr>
                <w:szCs w:val="20"/>
              </w:rPr>
              <w:t>1</w:t>
            </w:r>
            <w:r w:rsidR="001F77D0">
              <w:rPr>
                <w:szCs w:val="20"/>
              </w:rPr>
              <w:t>4 czerwca</w:t>
            </w:r>
            <w:r w:rsidR="00724C7B">
              <w:rPr>
                <w:szCs w:val="20"/>
              </w:rPr>
              <w:t xml:space="preserve"> 2021 </w:t>
            </w:r>
            <w:r w:rsidR="00ED4DB0">
              <w:rPr>
                <w:szCs w:val="20"/>
              </w:rPr>
              <w:t xml:space="preserve">roku do godziny 16:00 </w:t>
            </w:r>
            <w:r w:rsidR="00362DA0">
              <w:rPr>
                <w:szCs w:val="20"/>
              </w:rPr>
              <w:t xml:space="preserve">będzie mógł </w:t>
            </w:r>
            <w:r w:rsidR="00EE3BFB">
              <w:rPr>
                <w:szCs w:val="20"/>
              </w:rPr>
              <w:t xml:space="preserve">zadawać pytania dotyczące Nieruchomości. W tym celu w VDR zostanie udostępniony moduł Q&amp;A, za pośrednictwem którego będzie można zadawać pytania. </w:t>
            </w:r>
            <w:r w:rsidR="00ED4DB0" w:rsidRPr="00EE3BFB">
              <w:rPr>
                <w:szCs w:val="20"/>
              </w:rPr>
              <w:t xml:space="preserve">Dla </w:t>
            </w:r>
            <w:r w:rsidR="008D764A">
              <w:rPr>
                <w:szCs w:val="20"/>
              </w:rPr>
              <w:t>usprawnienia</w:t>
            </w:r>
            <w:r w:rsidR="008D764A" w:rsidRPr="00EE3BFB">
              <w:rPr>
                <w:szCs w:val="20"/>
              </w:rPr>
              <w:t xml:space="preserve"> </w:t>
            </w:r>
            <w:r w:rsidR="00ED4DB0" w:rsidRPr="00EE3BFB">
              <w:rPr>
                <w:szCs w:val="20"/>
              </w:rPr>
              <w:t>procesu badania uprzej</w:t>
            </w:r>
            <w:r w:rsidR="002C41D5" w:rsidRPr="00EE3BFB">
              <w:rPr>
                <w:szCs w:val="20"/>
              </w:rPr>
              <w:t xml:space="preserve">mie prosimy o zadawanie pytań </w:t>
            </w:r>
            <w:r w:rsidR="00ED4DB0" w:rsidRPr="00EE3BFB">
              <w:rPr>
                <w:szCs w:val="20"/>
              </w:rPr>
              <w:t>na bieżąco.</w:t>
            </w:r>
            <w:r w:rsidR="00EE3BFB">
              <w:rPr>
                <w:szCs w:val="20"/>
              </w:rPr>
              <w:t xml:space="preserve"> Zadawanie pytań będzie możliwe wyłącznie poprzez VDR. Prosimy o bieżące monitorowanie zadawanych pytań i udzielanych odpowiedzi.</w:t>
            </w:r>
          </w:p>
          <w:p w14:paraId="2665C892" w14:textId="38768CA8" w:rsidR="00ED4DB0" w:rsidRPr="00834ACA" w:rsidRDefault="00B43FD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MTP </w:t>
            </w:r>
            <w:r w:rsidR="00ED4DB0">
              <w:rPr>
                <w:szCs w:val="20"/>
              </w:rPr>
              <w:t xml:space="preserve">nie </w:t>
            </w:r>
            <w:r w:rsidR="008D764A">
              <w:rPr>
                <w:szCs w:val="20"/>
              </w:rPr>
              <w:t xml:space="preserve">mają obowiązku udzielania odpowiedzi na </w:t>
            </w:r>
            <w:r w:rsidR="00ED4DB0">
              <w:rPr>
                <w:szCs w:val="20"/>
              </w:rPr>
              <w:t xml:space="preserve">wszystkie pytania Potencjalnych Inwestorów. Odpowiedzi na pytania </w:t>
            </w:r>
            <w:r w:rsidR="00D73C23">
              <w:rPr>
                <w:szCs w:val="20"/>
              </w:rPr>
              <w:t xml:space="preserve">oraz prośby o dodatkowe dokumenty </w:t>
            </w:r>
            <w:r w:rsidR="00ED4DB0">
              <w:rPr>
                <w:szCs w:val="20"/>
              </w:rPr>
              <w:t xml:space="preserve">zostaną </w:t>
            </w:r>
            <w:r w:rsidR="00242B82">
              <w:rPr>
                <w:szCs w:val="20"/>
              </w:rPr>
              <w:t xml:space="preserve">udzielone najpóźniej do dnia </w:t>
            </w:r>
            <w:r w:rsidR="001F77D0">
              <w:rPr>
                <w:szCs w:val="20"/>
              </w:rPr>
              <w:t>1</w:t>
            </w:r>
            <w:r w:rsidR="00C91950">
              <w:rPr>
                <w:szCs w:val="20"/>
              </w:rPr>
              <w:t>7</w:t>
            </w:r>
            <w:r w:rsidR="001F77D0">
              <w:rPr>
                <w:szCs w:val="20"/>
              </w:rPr>
              <w:t xml:space="preserve"> czerwca</w:t>
            </w:r>
            <w:r w:rsidR="00724C7B">
              <w:rPr>
                <w:szCs w:val="20"/>
              </w:rPr>
              <w:t xml:space="preserve"> 2021 </w:t>
            </w:r>
            <w:r w:rsidR="00ED4DB0" w:rsidRPr="00362DA0">
              <w:rPr>
                <w:szCs w:val="20"/>
              </w:rPr>
              <w:t>roku</w:t>
            </w:r>
            <w:r w:rsidR="00ED4DB0">
              <w:rPr>
                <w:szCs w:val="20"/>
              </w:rPr>
              <w:t>.</w:t>
            </w:r>
          </w:p>
        </w:tc>
      </w:tr>
      <w:tr w:rsidR="00ED4DB0" w:rsidRPr="00AA7BE8" w14:paraId="2FF6C007" w14:textId="77777777" w:rsidTr="00B4551A">
        <w:trPr>
          <w:trHeight w:val="141"/>
        </w:trPr>
        <w:tc>
          <w:tcPr>
            <w:tcW w:w="1926" w:type="dxa"/>
            <w:shd w:val="clear" w:color="auto" w:fill="FFC000"/>
            <w:vAlign w:val="center"/>
          </w:tcPr>
          <w:p w14:paraId="20B52684" w14:textId="77777777" w:rsidR="00ED4DB0" w:rsidRPr="00AA7BE8" w:rsidRDefault="00362DA0" w:rsidP="00B43FD0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Wizyty Potencjalnych Inwestorów </w:t>
            </w:r>
            <w:r w:rsidR="00B43FD0">
              <w:rPr>
                <w:szCs w:val="20"/>
              </w:rPr>
              <w:t>na Nieruchomości</w:t>
            </w:r>
          </w:p>
        </w:tc>
        <w:tc>
          <w:tcPr>
            <w:tcW w:w="8272" w:type="dxa"/>
          </w:tcPr>
          <w:p w14:paraId="60935F28" w14:textId="77777777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W trakcie badania </w:t>
            </w:r>
            <w:proofErr w:type="spellStart"/>
            <w:r>
              <w:rPr>
                <w:szCs w:val="20"/>
              </w:rPr>
              <w:t>due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diligence</w:t>
            </w:r>
            <w:proofErr w:type="spellEnd"/>
            <w:r>
              <w:rPr>
                <w:szCs w:val="20"/>
              </w:rPr>
              <w:t xml:space="preserve"> możliwa będzie wizja lokalna </w:t>
            </w:r>
            <w:r w:rsidR="00B43FD0">
              <w:rPr>
                <w:szCs w:val="20"/>
              </w:rPr>
              <w:t xml:space="preserve">Nieruchomości </w:t>
            </w:r>
            <w:r w:rsidR="00B43FD0" w:rsidRPr="001F77D0">
              <w:rPr>
                <w:szCs w:val="20"/>
              </w:rPr>
              <w:t>oraz dokonanie oględzin budynków i budowli zlokalizowanych na Nieruchomości.</w:t>
            </w:r>
          </w:p>
          <w:p w14:paraId="10B66D22" w14:textId="77777777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Zakładamy, że wizja lokalna dla jednego Potencjalnego Inwestora będzie trwała </w:t>
            </w:r>
            <w:r w:rsidR="00B43FD0">
              <w:rPr>
                <w:szCs w:val="20"/>
              </w:rPr>
              <w:t>jeden dzień</w:t>
            </w:r>
            <w:r>
              <w:rPr>
                <w:szCs w:val="20"/>
              </w:rPr>
              <w:t xml:space="preserve"> i będzie odbywać się według następującego scenariusza</w:t>
            </w:r>
            <w:r w:rsidR="00B43FD0">
              <w:rPr>
                <w:szCs w:val="20"/>
              </w:rPr>
              <w:t>:</w:t>
            </w:r>
          </w:p>
          <w:p w14:paraId="20DA2CC2" w14:textId="7268812C" w:rsidR="00B43FD0" w:rsidRPr="00C91950" w:rsidRDefault="00B43FD0" w:rsidP="00C91950">
            <w:pPr>
              <w:numPr>
                <w:ilvl w:val="1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godz.: </w:t>
            </w:r>
            <w:r w:rsidR="001F77D0">
              <w:rPr>
                <w:szCs w:val="20"/>
              </w:rPr>
              <w:t>12</w:t>
            </w:r>
            <w:r>
              <w:rPr>
                <w:szCs w:val="20"/>
              </w:rPr>
              <w:t xml:space="preserve">:00 – spotkanie </w:t>
            </w:r>
            <w:r w:rsidR="001F77D0">
              <w:rPr>
                <w:szCs w:val="20"/>
              </w:rPr>
              <w:t>na terenie Nieruchomości od strony ul. Stachowskiej</w:t>
            </w:r>
            <w:r>
              <w:rPr>
                <w:szCs w:val="20"/>
              </w:rPr>
              <w:t>, w tym:</w:t>
            </w:r>
            <w:r w:rsidR="00C91950">
              <w:rPr>
                <w:szCs w:val="20"/>
              </w:rPr>
              <w:t xml:space="preserve"> </w:t>
            </w:r>
            <w:r w:rsidRPr="00C91950">
              <w:rPr>
                <w:szCs w:val="20"/>
              </w:rPr>
              <w:t>obejście terenu Nieruchomości</w:t>
            </w:r>
          </w:p>
          <w:p w14:paraId="63526689" w14:textId="319A7E01" w:rsidR="00CF2B6E" w:rsidRDefault="00CF2B6E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Termin wizji lokalnej powinien być uzgodniony z Koordynatorem Badania na co najmniej 3 dni robocze przed planowanym terminem wizji. Zastrzega się, że termin wizji lokalnej może zostać uzgodniony w innym</w:t>
            </w:r>
            <w:r w:rsidR="00C32C93">
              <w:rPr>
                <w:szCs w:val="20"/>
              </w:rPr>
              <w:t>,</w:t>
            </w:r>
            <w:r>
              <w:rPr>
                <w:szCs w:val="20"/>
              </w:rPr>
              <w:t xml:space="preserve"> niż planowany terminie, z uwagi na kolizję terminu z już umówionym terminem wizji przeprowadzanej przez innego Potencjalnego Inwestora. </w:t>
            </w:r>
          </w:p>
          <w:p w14:paraId="6B348F87" w14:textId="0F25EC86" w:rsidR="00D73C23" w:rsidRPr="00D73C23" w:rsidRDefault="00CF2B6E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Zakłada się możliwość przeprowadzania wizji lokalnej w dni robocze począwszy od dnia </w:t>
            </w:r>
            <w:r w:rsidR="001F77D0">
              <w:rPr>
                <w:szCs w:val="20"/>
              </w:rPr>
              <w:t>1</w:t>
            </w:r>
            <w:r w:rsidR="00C91950">
              <w:rPr>
                <w:szCs w:val="20"/>
              </w:rPr>
              <w:t>9</w:t>
            </w:r>
            <w:r w:rsidR="001F77D0">
              <w:rPr>
                <w:szCs w:val="20"/>
              </w:rPr>
              <w:t xml:space="preserve"> </w:t>
            </w:r>
            <w:r w:rsidR="00C91950">
              <w:rPr>
                <w:szCs w:val="20"/>
              </w:rPr>
              <w:t>kwietnia</w:t>
            </w:r>
            <w:r w:rsidR="00724C7B">
              <w:rPr>
                <w:szCs w:val="20"/>
              </w:rPr>
              <w:t xml:space="preserve"> 2021</w:t>
            </w:r>
            <w:r w:rsidR="00C9195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roku do </w:t>
            </w:r>
            <w:r w:rsidR="00EE3BFB">
              <w:rPr>
                <w:szCs w:val="20"/>
              </w:rPr>
              <w:t xml:space="preserve">dnia poprzedzającego dzień ustnego przetargu nieograniczonego, tj. do dnia </w:t>
            </w:r>
            <w:r w:rsidR="00F37B13">
              <w:rPr>
                <w:szCs w:val="20"/>
              </w:rPr>
              <w:t>22</w:t>
            </w:r>
            <w:r w:rsidR="001F77D0">
              <w:rPr>
                <w:szCs w:val="20"/>
              </w:rPr>
              <w:t xml:space="preserve"> czerwca</w:t>
            </w:r>
            <w:r w:rsidR="00724C7B">
              <w:rPr>
                <w:szCs w:val="20"/>
              </w:rPr>
              <w:t xml:space="preserve"> 2021</w:t>
            </w:r>
            <w:r w:rsidR="00C91950">
              <w:rPr>
                <w:szCs w:val="20"/>
              </w:rPr>
              <w:t xml:space="preserve"> roku</w:t>
            </w:r>
            <w:r>
              <w:rPr>
                <w:szCs w:val="20"/>
              </w:rPr>
              <w:t xml:space="preserve"> Potencjalny Inwestor może dokonywać dowolną </w:t>
            </w:r>
            <w:r w:rsidR="005567BD">
              <w:rPr>
                <w:szCs w:val="20"/>
              </w:rPr>
              <w:t xml:space="preserve">ilość </w:t>
            </w:r>
            <w:r>
              <w:rPr>
                <w:szCs w:val="20"/>
              </w:rPr>
              <w:t>wizji lokalnych Nieruchomości, jednakże każda wizja powinna być uprzednio zgłoszona Koordynatorowi Badania, z zachowaniem terminu o</w:t>
            </w:r>
            <w:r w:rsidR="00C91950">
              <w:rPr>
                <w:szCs w:val="20"/>
              </w:rPr>
              <w:t> </w:t>
            </w:r>
            <w:r w:rsidR="00C32C93">
              <w:rPr>
                <w:szCs w:val="20"/>
              </w:rPr>
              <w:t>którym mowa w punkcie powyżej.</w:t>
            </w:r>
          </w:p>
          <w:p w14:paraId="5A730E40" w14:textId="0A9CBC33" w:rsidR="00ED4DB0" w:rsidRPr="0036229D" w:rsidRDefault="00ED4DB0" w:rsidP="0036229D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W trakcie oględzin każdemu z Potencjalnych Inwestorów będzie </w:t>
            </w:r>
            <w:r>
              <w:t xml:space="preserve">towarzyszył Koordynator </w:t>
            </w:r>
            <w:r w:rsidR="000A48DC">
              <w:t xml:space="preserve">Badania </w:t>
            </w:r>
            <w:r w:rsidR="00CF2B6E">
              <w:t>lub osoba przez niego wskazana.</w:t>
            </w:r>
          </w:p>
          <w:p w14:paraId="0AF68FC9" w14:textId="1EA83D1F" w:rsidR="00D73C23" w:rsidRPr="00CF2B6E" w:rsidRDefault="00ED4DB0" w:rsidP="00CF2B6E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W trakcie wizyt </w:t>
            </w:r>
            <w:r w:rsidR="00DA3B03">
              <w:rPr>
                <w:szCs w:val="20"/>
              </w:rPr>
              <w:t>na terenie MTP</w:t>
            </w:r>
            <w:r>
              <w:rPr>
                <w:szCs w:val="20"/>
              </w:rPr>
              <w:t xml:space="preserve"> Potencjalni Inwestorzy zobowiązani są do przestrzegania wszystkich zasad bezpieczeństwa oraz procedur wymaganych </w:t>
            </w:r>
            <w:r w:rsidR="00EE3BFB">
              <w:rPr>
                <w:szCs w:val="20"/>
              </w:rPr>
              <w:t>prawem, w </w:t>
            </w:r>
            <w:r w:rsidR="00CF2B6E">
              <w:rPr>
                <w:szCs w:val="20"/>
              </w:rPr>
              <w:t>szczególności wszelkie badania wymagające ingerencji w strukturę Nieruchomości powinny być wcześniej zaplanowane i uzgodnione</w:t>
            </w:r>
            <w:r w:rsidR="00494629">
              <w:rPr>
                <w:szCs w:val="20"/>
              </w:rPr>
              <w:t xml:space="preserve"> (wymagana zgoda MTP)</w:t>
            </w:r>
            <w:r w:rsidR="00CF2B6E">
              <w:rPr>
                <w:szCs w:val="20"/>
              </w:rPr>
              <w:t>.</w:t>
            </w:r>
          </w:p>
        </w:tc>
      </w:tr>
      <w:tr w:rsidR="00ED4DB0" w:rsidRPr="00AA7BE8" w14:paraId="5B347047" w14:textId="77777777" w:rsidTr="00B4551A">
        <w:trPr>
          <w:trHeight w:val="141"/>
        </w:trPr>
        <w:tc>
          <w:tcPr>
            <w:tcW w:w="1926" w:type="dxa"/>
            <w:shd w:val="clear" w:color="auto" w:fill="FFC000"/>
          </w:tcPr>
          <w:p w14:paraId="28319440" w14:textId="77777777" w:rsidR="00ED4DB0" w:rsidRPr="00AA7BE8" w:rsidRDefault="00ED4DB0" w:rsidP="0084014F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Tłumaczenie</w:t>
            </w:r>
          </w:p>
        </w:tc>
        <w:tc>
          <w:tcPr>
            <w:tcW w:w="8272" w:type="dxa"/>
          </w:tcPr>
          <w:p w14:paraId="11112E93" w14:textId="77777777" w:rsidR="00ED4DB0" w:rsidRPr="00CC061F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Językiem obowiązującym w procesie VDR jest język polski. Potencjalny Inwestor zapewnia tłumaczenie we własnym zakresie.</w:t>
            </w:r>
          </w:p>
        </w:tc>
      </w:tr>
      <w:tr w:rsidR="00ED4DB0" w:rsidRPr="00AA7BE8" w14:paraId="1173B660" w14:textId="77777777" w:rsidTr="00B4551A">
        <w:trPr>
          <w:trHeight w:val="141"/>
        </w:trPr>
        <w:tc>
          <w:tcPr>
            <w:tcW w:w="1926" w:type="dxa"/>
            <w:shd w:val="clear" w:color="auto" w:fill="FFC000"/>
            <w:vAlign w:val="center"/>
          </w:tcPr>
          <w:p w14:paraId="05C43A73" w14:textId="77777777" w:rsidR="00ED4DB0" w:rsidRDefault="00ED4DB0" w:rsidP="00C32C93">
            <w:pPr>
              <w:spacing w:line="30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Help </w:t>
            </w:r>
            <w:proofErr w:type="spellStart"/>
            <w:r>
              <w:rPr>
                <w:szCs w:val="20"/>
              </w:rPr>
              <w:t>Desk</w:t>
            </w:r>
            <w:proofErr w:type="spellEnd"/>
          </w:p>
        </w:tc>
        <w:tc>
          <w:tcPr>
            <w:tcW w:w="8272" w:type="dxa"/>
          </w:tcPr>
          <w:p w14:paraId="5402FB68" w14:textId="77777777" w:rsidR="00ED4DB0" w:rsidRPr="004D4E09" w:rsidRDefault="00ED4DB0" w:rsidP="00CF2B6E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>W zakresie kwestii me</w:t>
            </w:r>
            <w:r w:rsidR="00CF2B6E">
              <w:rPr>
                <w:szCs w:val="20"/>
              </w:rPr>
              <w:t>rytorycznych wsparcie zapewnia Koordynator B</w:t>
            </w:r>
            <w:r>
              <w:rPr>
                <w:szCs w:val="20"/>
              </w:rPr>
              <w:t xml:space="preserve">adania. Wsparcie merytoryczne udzielane będzie od poniedziałku </w:t>
            </w:r>
            <w:r w:rsidR="00CF2B6E">
              <w:rPr>
                <w:szCs w:val="20"/>
              </w:rPr>
              <w:t>do piątku w godzinach 10:00 – 16</w:t>
            </w:r>
            <w:r>
              <w:rPr>
                <w:szCs w:val="20"/>
              </w:rPr>
              <w:t>:00.</w:t>
            </w:r>
          </w:p>
        </w:tc>
      </w:tr>
      <w:tr w:rsidR="00ED4DB0" w:rsidRPr="00AA7BE8" w14:paraId="43956B8C" w14:textId="77777777" w:rsidTr="00B4551A">
        <w:trPr>
          <w:trHeight w:val="141"/>
        </w:trPr>
        <w:tc>
          <w:tcPr>
            <w:tcW w:w="1926" w:type="dxa"/>
            <w:shd w:val="clear" w:color="auto" w:fill="FFC000"/>
            <w:vAlign w:val="center"/>
          </w:tcPr>
          <w:p w14:paraId="1F284271" w14:textId="77777777" w:rsidR="00ED4DB0" w:rsidRDefault="00ED4DB0" w:rsidP="00C91950">
            <w:pPr>
              <w:spacing w:line="30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Zastrzeżenia</w:t>
            </w:r>
          </w:p>
        </w:tc>
        <w:tc>
          <w:tcPr>
            <w:tcW w:w="8272" w:type="dxa"/>
          </w:tcPr>
          <w:p w14:paraId="66899A0D" w14:textId="062F78B6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Niniejsze zasady nie stanowią oferty sprzedaży </w:t>
            </w:r>
            <w:r w:rsidR="00CF2B6E">
              <w:rPr>
                <w:szCs w:val="20"/>
              </w:rPr>
              <w:t>Nieruchomości</w:t>
            </w:r>
            <w:r w:rsidR="007D10F2">
              <w:rPr>
                <w:szCs w:val="20"/>
              </w:rPr>
              <w:t xml:space="preserve"> (ani jej części)</w:t>
            </w:r>
          </w:p>
          <w:p w14:paraId="47E7DCFB" w14:textId="7D1DC946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 w:rsidRPr="004D4E09">
              <w:rPr>
                <w:szCs w:val="20"/>
              </w:rPr>
              <w:t>Nie udziela się żadnej gwarancji co do wyczerp</w:t>
            </w:r>
            <w:r w:rsidR="00C32C93">
              <w:rPr>
                <w:szCs w:val="20"/>
              </w:rPr>
              <w:t>ującego charakteru informacji i </w:t>
            </w:r>
            <w:r w:rsidRPr="004D4E09">
              <w:rPr>
                <w:szCs w:val="20"/>
              </w:rPr>
              <w:t xml:space="preserve">dokumentacji znajdującej się w </w:t>
            </w:r>
            <w:r w:rsidR="00EE3BFB">
              <w:rPr>
                <w:szCs w:val="20"/>
              </w:rPr>
              <w:t>VDR</w:t>
            </w:r>
            <w:r w:rsidRPr="004D4E09">
              <w:rPr>
                <w:szCs w:val="20"/>
              </w:rPr>
              <w:t xml:space="preserve">. </w:t>
            </w:r>
            <w:r w:rsidR="00D50EAD">
              <w:rPr>
                <w:szCs w:val="20"/>
              </w:rPr>
              <w:t xml:space="preserve">MTP </w:t>
            </w:r>
            <w:r w:rsidRPr="004D4E09">
              <w:rPr>
                <w:szCs w:val="20"/>
              </w:rPr>
              <w:t xml:space="preserve">nie składają żadnych oświadczeń lub </w:t>
            </w:r>
            <w:r w:rsidRPr="004D4E09">
              <w:rPr>
                <w:szCs w:val="20"/>
              </w:rPr>
              <w:lastRenderedPageBreak/>
              <w:t xml:space="preserve">zapewnień w zakresie lub w związku z dokładnością lub kompletnością udostępnionych w </w:t>
            </w:r>
            <w:r w:rsidR="00EE3BFB">
              <w:rPr>
                <w:szCs w:val="20"/>
              </w:rPr>
              <w:t>VDR</w:t>
            </w:r>
            <w:r w:rsidRPr="004D4E09">
              <w:rPr>
                <w:szCs w:val="20"/>
              </w:rPr>
              <w:t xml:space="preserve"> informacji i dokumentacji oraz wszelkich innych pisemnych lub ustnych informacji (w tym między innymi wszelkich odpowiedzi na pytania udzielone w wyniku badania dokumentacji w wirtualnym data </w:t>
            </w:r>
            <w:proofErr w:type="spellStart"/>
            <w:r w:rsidRPr="004D4E09">
              <w:rPr>
                <w:szCs w:val="20"/>
              </w:rPr>
              <w:t>room</w:t>
            </w:r>
            <w:proofErr w:type="spellEnd"/>
            <w:r w:rsidRPr="004D4E09">
              <w:rPr>
                <w:szCs w:val="20"/>
              </w:rPr>
              <w:t>) udziel</w:t>
            </w:r>
            <w:r w:rsidR="00CF2B6E">
              <w:rPr>
                <w:szCs w:val="20"/>
              </w:rPr>
              <w:t>onych Potencjalnemu Inwestorowi.</w:t>
            </w:r>
          </w:p>
          <w:p w14:paraId="2515777B" w14:textId="520D5259" w:rsidR="00ED4DB0" w:rsidRDefault="00CF2B6E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MTP </w:t>
            </w:r>
            <w:r w:rsidR="00ED4DB0" w:rsidRPr="004D4E09">
              <w:rPr>
                <w:szCs w:val="20"/>
              </w:rPr>
              <w:t>zastrzega</w:t>
            </w:r>
            <w:r>
              <w:rPr>
                <w:szCs w:val="20"/>
              </w:rPr>
              <w:t>ją</w:t>
            </w:r>
            <w:r w:rsidR="00ED4DB0" w:rsidRPr="004D4E09">
              <w:rPr>
                <w:szCs w:val="20"/>
              </w:rPr>
              <w:t xml:space="preserve"> sobie możliwość wprowadzenia, w każdym czasie, zmian do niniejszych zasad </w:t>
            </w:r>
            <w:r w:rsidR="00ED4DB0">
              <w:rPr>
                <w:szCs w:val="20"/>
              </w:rPr>
              <w:t>VDR</w:t>
            </w:r>
            <w:r w:rsidR="003244C0">
              <w:rPr>
                <w:szCs w:val="20"/>
              </w:rPr>
              <w:t>.</w:t>
            </w:r>
          </w:p>
        </w:tc>
      </w:tr>
      <w:tr w:rsidR="00ED4DB0" w:rsidRPr="00AA7BE8" w14:paraId="70026304" w14:textId="77777777" w:rsidTr="00B4551A">
        <w:trPr>
          <w:trHeight w:val="141"/>
        </w:trPr>
        <w:tc>
          <w:tcPr>
            <w:tcW w:w="1926" w:type="dxa"/>
            <w:shd w:val="clear" w:color="auto" w:fill="FFC000"/>
            <w:vAlign w:val="center"/>
          </w:tcPr>
          <w:p w14:paraId="564BA6BC" w14:textId="77777777" w:rsidR="00ED4DB0" w:rsidRDefault="00ED4DB0" w:rsidP="0084014F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Pozostałe kwestie</w:t>
            </w:r>
          </w:p>
        </w:tc>
        <w:tc>
          <w:tcPr>
            <w:tcW w:w="8272" w:type="dxa"/>
          </w:tcPr>
          <w:p w14:paraId="2F486213" w14:textId="3C4BA549" w:rsidR="00ED4DB0" w:rsidRDefault="00ED4DB0" w:rsidP="00D73C23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W czasie trwania badania </w:t>
            </w:r>
            <w:r w:rsidR="00AA7732">
              <w:rPr>
                <w:szCs w:val="20"/>
              </w:rPr>
              <w:t xml:space="preserve">MTP </w:t>
            </w:r>
            <w:r>
              <w:rPr>
                <w:szCs w:val="20"/>
              </w:rPr>
              <w:t>nie zapewnia członkom zespołu Potencjalnego Inwestora transportu i zakwaterowania oraz wyżywienia.</w:t>
            </w:r>
          </w:p>
          <w:p w14:paraId="06E73C56" w14:textId="29D7ACCF" w:rsidR="00ED4DB0" w:rsidRDefault="00ED4DB0" w:rsidP="00581C96">
            <w:pPr>
              <w:numPr>
                <w:ilvl w:val="0"/>
                <w:numId w:val="9"/>
              </w:numPr>
              <w:spacing w:after="100" w:line="300" w:lineRule="exact"/>
              <w:ind w:hanging="357"/>
              <w:rPr>
                <w:szCs w:val="20"/>
              </w:rPr>
            </w:pPr>
            <w:r>
              <w:rPr>
                <w:szCs w:val="20"/>
              </w:rPr>
              <w:t xml:space="preserve">Wszelkie zapytania i wątpliwości dotyczące niniejszej procedury oraz przebiegu badania </w:t>
            </w:r>
            <w:r w:rsidR="00AA7732">
              <w:rPr>
                <w:szCs w:val="20"/>
              </w:rPr>
              <w:t>Nieruchomości</w:t>
            </w:r>
            <w:r>
              <w:rPr>
                <w:szCs w:val="20"/>
              </w:rPr>
              <w:t xml:space="preserve"> proszę kierować do Koordynatora Badania</w:t>
            </w:r>
            <w:r w:rsidR="003244C0">
              <w:rPr>
                <w:szCs w:val="20"/>
              </w:rPr>
              <w:t>.</w:t>
            </w:r>
          </w:p>
        </w:tc>
      </w:tr>
      <w:bookmarkEnd w:id="1"/>
    </w:tbl>
    <w:p w14:paraId="269D7E00" w14:textId="77777777" w:rsidR="00B4551A" w:rsidRDefault="00B4551A" w:rsidP="00ED4DB0">
      <w:pPr>
        <w:spacing w:line="300" w:lineRule="exact"/>
        <w:rPr>
          <w:szCs w:val="20"/>
        </w:rPr>
      </w:pPr>
    </w:p>
    <w:p w14:paraId="384F43EB" w14:textId="716C5B0F" w:rsidR="00754E6C" w:rsidRDefault="00754E6C">
      <w:pPr>
        <w:spacing w:after="200" w:line="276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2590AA7F" w14:textId="77777777" w:rsidR="00ED4DB0" w:rsidRDefault="00ED4DB0" w:rsidP="00ED4DB0">
      <w:pPr>
        <w:rPr>
          <w:b/>
        </w:rPr>
      </w:pPr>
      <w:r w:rsidRPr="00E174D4">
        <w:rPr>
          <w:b/>
        </w:rPr>
        <w:lastRenderedPageBreak/>
        <w:t xml:space="preserve">Załącznik nr </w:t>
      </w:r>
      <w:r>
        <w:rPr>
          <w:b/>
        </w:rPr>
        <w:t>1</w:t>
      </w:r>
    </w:p>
    <w:p w14:paraId="39E9875B" w14:textId="77777777" w:rsidR="00ED4DB0" w:rsidRDefault="00ED4DB0" w:rsidP="00ED4DB0">
      <w:pPr>
        <w:rPr>
          <w:b/>
        </w:rPr>
      </w:pPr>
    </w:p>
    <w:p w14:paraId="4EFA70E5" w14:textId="77777777" w:rsidR="00ED4DB0" w:rsidRDefault="00ED4DB0" w:rsidP="00ED4DB0">
      <w:pPr>
        <w:jc w:val="center"/>
        <w:rPr>
          <w:b/>
        </w:rPr>
      </w:pPr>
      <w:r>
        <w:rPr>
          <w:b/>
        </w:rPr>
        <w:t>Lista osób reprezentujących Potencjalnego Inwestora</w:t>
      </w:r>
    </w:p>
    <w:p w14:paraId="78C9DBED" w14:textId="77777777" w:rsidR="00ED4DB0" w:rsidRDefault="00ED4DB0" w:rsidP="00ED4DB0">
      <w:pPr>
        <w:jc w:val="center"/>
        <w:rPr>
          <w:b/>
        </w:rPr>
      </w:pPr>
    </w:p>
    <w:p w14:paraId="73071206" w14:textId="77777777" w:rsidR="00ED4DB0" w:rsidRDefault="00ED4DB0" w:rsidP="00ED4DB0">
      <w:r>
        <w:t>Nazwa Potencjalnego Inwestora:</w:t>
      </w:r>
    </w:p>
    <w:p w14:paraId="714B64FD" w14:textId="77777777" w:rsidR="00ED4DB0" w:rsidRDefault="00ED4DB0" w:rsidP="00ED4D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E4501" w14:textId="77777777" w:rsidR="00ED4DB0" w:rsidRPr="00C618B5" w:rsidRDefault="00ED4DB0" w:rsidP="00ED4DB0">
      <w:r w:rsidRPr="00C618B5">
        <w:t xml:space="preserve">Reprezentant Potencjalnego Inwestora odpowiedzialny za zespół prowadzący badanie  </w:t>
      </w:r>
    </w:p>
    <w:p w14:paraId="455A2462" w14:textId="77777777" w:rsidR="00ED4DB0" w:rsidRPr="00C618B5" w:rsidRDefault="00ED4DB0" w:rsidP="00ED4DB0">
      <w:r>
        <w:t>(nazwisko imię, tel. kontaktowy, e-</w:t>
      </w:r>
      <w:r w:rsidRPr="00C618B5">
        <w:t>mail)</w:t>
      </w:r>
    </w:p>
    <w:p w14:paraId="2E32A888" w14:textId="77777777" w:rsidR="00ED4DB0" w:rsidRDefault="00ED4DB0" w:rsidP="00ED4DB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83695" w14:textId="77777777" w:rsidR="00ED4DB0" w:rsidRDefault="00ED4DB0" w:rsidP="00ED4DB0"/>
    <w:tbl>
      <w:tblPr>
        <w:tblW w:w="83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83"/>
        <w:gridCol w:w="1559"/>
        <w:gridCol w:w="1560"/>
        <w:gridCol w:w="1134"/>
        <w:gridCol w:w="1701"/>
      </w:tblGrid>
      <w:tr w:rsidR="00ED4DB0" w:rsidRPr="00C618B5" w14:paraId="31B4FA92" w14:textId="77777777" w:rsidTr="001109B6">
        <w:trPr>
          <w:trHeight w:val="2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6D2CF6A" w14:textId="77777777" w:rsidR="00ED4DB0" w:rsidRPr="00C618B5" w:rsidRDefault="00ED4DB0" w:rsidP="008401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6BF4D1" w14:textId="77777777" w:rsidR="00ED4DB0" w:rsidRPr="00C618B5" w:rsidRDefault="00ED4DB0" w:rsidP="008401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9BD191" w14:textId="77777777" w:rsidR="00ED4DB0" w:rsidRPr="00C618B5" w:rsidRDefault="00ED4DB0" w:rsidP="008401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C360C5" w14:textId="77777777" w:rsidR="00ED4DB0" w:rsidRPr="00C618B5" w:rsidRDefault="00ED4DB0" w:rsidP="0084014F">
            <w:pPr>
              <w:jc w:val="center"/>
              <w:rPr>
                <w:sz w:val="16"/>
              </w:rPr>
            </w:pPr>
            <w:r w:rsidRPr="00C618B5">
              <w:rPr>
                <w:sz w:val="16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644F24" w14:textId="77777777" w:rsidR="00ED4DB0" w:rsidRPr="00C618B5" w:rsidRDefault="00ED4DB0" w:rsidP="008401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3CEF4B" w14:textId="77777777" w:rsidR="00ED4DB0" w:rsidRPr="00C618B5" w:rsidRDefault="00ED4DB0" w:rsidP="008401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Numer telefonu</w:t>
            </w:r>
          </w:p>
        </w:tc>
      </w:tr>
      <w:tr w:rsidR="00ED4DB0" w:rsidRPr="00C618B5" w14:paraId="4F918672" w14:textId="77777777" w:rsidTr="001109B6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834B" w14:textId="77777777" w:rsidR="00ED4DB0" w:rsidRPr="00C618B5" w:rsidRDefault="00ED4DB0" w:rsidP="0084014F">
            <w:pPr>
              <w:spacing w:after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1</w:t>
            </w:r>
            <w:r w:rsidR="001109B6">
              <w:rPr>
                <w:rFonts w:cs="Arial"/>
                <w:color w:val="000000"/>
                <w:sz w:val="18"/>
                <w:szCs w:val="20"/>
              </w:rPr>
              <w:t>*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5F7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487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A0B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A29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948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ED4DB0" w:rsidRPr="00C618B5" w14:paraId="289223F1" w14:textId="77777777" w:rsidTr="001109B6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4B5" w14:textId="77777777" w:rsidR="00ED4DB0" w:rsidRPr="00C618B5" w:rsidRDefault="00ED4DB0" w:rsidP="0084014F">
            <w:pPr>
              <w:spacing w:after="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FCE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9B1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556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A43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3E6" w14:textId="77777777" w:rsidR="00ED4DB0" w:rsidRPr="00C618B5" w:rsidRDefault="00ED4DB0" w:rsidP="0084014F">
            <w:pPr>
              <w:spacing w:after="0"/>
              <w:jc w:val="left"/>
              <w:rPr>
                <w:rFonts w:cs="Arial"/>
                <w:color w:val="000000"/>
                <w:sz w:val="18"/>
                <w:szCs w:val="20"/>
              </w:rPr>
            </w:pPr>
            <w:r w:rsidRPr="00C618B5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</w:tbl>
    <w:p w14:paraId="01DFB5FF" w14:textId="77777777" w:rsidR="00ED4DB0" w:rsidRPr="00A53527" w:rsidRDefault="00ED4DB0" w:rsidP="00ED4DB0">
      <w:pPr>
        <w:rPr>
          <w:sz w:val="16"/>
        </w:rPr>
      </w:pPr>
      <w:r w:rsidRPr="00A53527">
        <w:rPr>
          <w:sz w:val="16"/>
        </w:rPr>
        <w:t>* - osoba wyznaczona jako Koordynator Badania</w:t>
      </w:r>
    </w:p>
    <w:p w14:paraId="72DD29E6" w14:textId="77777777" w:rsidR="00754E6C" w:rsidRDefault="00754E6C" w:rsidP="00ED4DB0"/>
    <w:p w14:paraId="7E559887" w14:textId="77777777" w:rsidR="00ED4DB0" w:rsidRDefault="00ED4DB0" w:rsidP="00ED4DB0">
      <w:r>
        <w:t xml:space="preserve">Data:............................... </w:t>
      </w:r>
    </w:p>
    <w:p w14:paraId="34C96948" w14:textId="77777777" w:rsidR="00ED4DB0" w:rsidRDefault="00ED4DB0" w:rsidP="00ED4DB0">
      <w:r>
        <w:t xml:space="preserve">Imię i nazwisko (drukowanymi literami) </w:t>
      </w:r>
    </w:p>
    <w:p w14:paraId="2DD8D1D7" w14:textId="77777777" w:rsidR="00ED4DB0" w:rsidRDefault="00ED4DB0" w:rsidP="00ED4DB0">
      <w:r>
        <w:t>...............................................................................................................................................</w:t>
      </w:r>
    </w:p>
    <w:p w14:paraId="71F6E10C" w14:textId="77777777" w:rsidR="00ED4DB0" w:rsidRDefault="00ED4DB0" w:rsidP="00ED4DB0">
      <w:r>
        <w:t>Stanowisko.............................................................................................................................</w:t>
      </w:r>
    </w:p>
    <w:p w14:paraId="27246F30" w14:textId="77777777" w:rsidR="00ED4DB0" w:rsidRDefault="00ED4DB0" w:rsidP="00ED4DB0">
      <w:r>
        <w:t>Firma......................................................................................................................................</w:t>
      </w:r>
    </w:p>
    <w:p w14:paraId="3BCA5895" w14:textId="77777777" w:rsidR="00FF2C34" w:rsidRDefault="00FF2C34" w:rsidP="00EE3BFB"/>
    <w:sectPr w:rsidR="00FF2C34" w:rsidSect="00C110C7">
      <w:headerReference w:type="default" r:id="rId9"/>
      <w:footerReference w:type="default" r:id="rId10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F93A55" w15:done="0"/>
  <w15:commentEx w15:paraId="029540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2A58" w16cex:dateUtc="2021-04-08T05:08:00Z"/>
  <w16cex:commentExtensible w16cex:durableId="24192A23" w16cex:dateUtc="2021-04-08T0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F93A55" w16cid:durableId="24192A58"/>
  <w16cid:commentId w16cid:paraId="0295400E" w16cid:durableId="24192A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32BA" w14:textId="77777777" w:rsidR="00CB5F6A" w:rsidRDefault="00CB5F6A" w:rsidP="00FF2C34">
      <w:pPr>
        <w:spacing w:after="0"/>
      </w:pPr>
      <w:r>
        <w:separator/>
      </w:r>
    </w:p>
  </w:endnote>
  <w:endnote w:type="continuationSeparator" w:id="0">
    <w:p w14:paraId="0C69C06C" w14:textId="77777777" w:rsidR="00CB5F6A" w:rsidRDefault="00CB5F6A" w:rsidP="00FF2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BB74" w14:textId="79143F20" w:rsidR="00FF2C34" w:rsidRDefault="00140284" w:rsidP="00C110C7">
    <w:pPr>
      <w:pStyle w:val="Stopka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3E0720" wp14:editId="48B594A4">
              <wp:simplePos x="0" y="0"/>
              <wp:positionH relativeFrom="page">
                <wp:posOffset>7245350</wp:posOffset>
              </wp:positionH>
              <wp:positionV relativeFrom="page">
                <wp:posOffset>10153015</wp:posOffset>
              </wp:positionV>
              <wp:extent cx="228600" cy="228600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43B8E" w14:textId="77777777" w:rsidR="00351E7F" w:rsidRPr="007433E1" w:rsidRDefault="00106C41" w:rsidP="00351E7F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7433E1"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 w:rsidR="00351E7F" w:rsidRPr="007433E1">
                            <w:rPr>
                              <w:rFonts w:cs="Arial"/>
                              <w:szCs w:val="20"/>
                            </w:rPr>
                            <w:instrText xml:space="preserve"> PAGE  \* Arabic  \* MERGEFORMAT </w:instrText>
                          </w:r>
                          <w:r w:rsidRPr="007433E1"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7E7D9C">
                            <w:rPr>
                              <w:rFonts w:cs="Arial"/>
                              <w:noProof/>
                              <w:szCs w:val="20"/>
                            </w:rPr>
                            <w:t>1</w:t>
                          </w:r>
                          <w:r w:rsidRPr="007433E1"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0.5pt;margin-top:799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eTpwIAAKg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" filled="f" stroked="f">
              <v:textbox inset="0,0,0,0">
                <w:txbxContent>
                  <w:p w14:paraId="26A43B8E" w14:textId="77777777" w:rsidR="00351E7F" w:rsidRPr="007433E1" w:rsidRDefault="00106C41" w:rsidP="00351E7F">
                    <w:pPr>
                      <w:rPr>
                        <w:rFonts w:cs="Arial"/>
                        <w:szCs w:val="20"/>
                      </w:rPr>
                    </w:pPr>
                    <w:r w:rsidRPr="007433E1">
                      <w:rPr>
                        <w:rFonts w:cs="Arial"/>
                        <w:szCs w:val="20"/>
                      </w:rPr>
                      <w:fldChar w:fldCharType="begin"/>
                    </w:r>
                    <w:r w:rsidR="00351E7F" w:rsidRPr="007433E1">
                      <w:rPr>
                        <w:rFonts w:cs="Arial"/>
                        <w:szCs w:val="20"/>
                      </w:rPr>
                      <w:instrText xml:space="preserve"> PAGE  \* Arabic  \* MERGEFORMAT </w:instrText>
                    </w:r>
                    <w:r w:rsidRPr="007433E1"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7E7D9C">
                      <w:rPr>
                        <w:rFonts w:cs="Arial"/>
                        <w:noProof/>
                        <w:szCs w:val="20"/>
                      </w:rPr>
                      <w:t>1</w:t>
                    </w:r>
                    <w:r w:rsidRPr="007433E1">
                      <w:rPr>
                        <w:rFonts w:cs="Arial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C792" w14:textId="77777777" w:rsidR="00CB5F6A" w:rsidRDefault="00CB5F6A" w:rsidP="00FF2C34">
      <w:pPr>
        <w:spacing w:after="0"/>
      </w:pPr>
      <w:r>
        <w:separator/>
      </w:r>
    </w:p>
  </w:footnote>
  <w:footnote w:type="continuationSeparator" w:id="0">
    <w:p w14:paraId="5572CC54" w14:textId="77777777" w:rsidR="00CB5F6A" w:rsidRDefault="00CB5F6A" w:rsidP="00FF2C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82D0" w14:textId="3AC018A5" w:rsidR="00A51B89" w:rsidRDefault="00A51B89" w:rsidP="00A51B89">
    <w:pPr>
      <w:spacing w:line="360" w:lineRule="auto"/>
      <w:jc w:val="right"/>
      <w:rPr>
        <w:rFonts w:cs="Arial"/>
        <w:b/>
        <w:bCs/>
        <w:i/>
        <w:iCs/>
        <w:szCs w:val="20"/>
      </w:rPr>
    </w:pPr>
    <w:r>
      <w:rPr>
        <w:rFonts w:cs="Arial"/>
        <w:b/>
        <w:bCs/>
        <w:i/>
        <w:iCs/>
        <w:szCs w:val="20"/>
      </w:rPr>
      <w:t xml:space="preserve">Załącznik nr 4 do warunków przetargu ustnego nieograniczonego na </w:t>
    </w:r>
    <w:r w:rsidRPr="00C91950">
      <w:rPr>
        <w:rFonts w:cs="Arial"/>
        <w:b/>
        <w:bCs/>
        <w:i/>
        <w:iCs/>
        <w:szCs w:val="20"/>
      </w:rPr>
      <w:t xml:space="preserve">sprzedaż </w:t>
    </w:r>
    <w:r w:rsidR="00724C7B" w:rsidRPr="00C91950">
      <w:rPr>
        <w:rFonts w:cs="Arial"/>
        <w:b/>
        <w:bCs/>
        <w:i/>
        <w:iCs/>
        <w:szCs w:val="20"/>
      </w:rPr>
      <w:t xml:space="preserve">części </w:t>
    </w:r>
    <w:r w:rsidRPr="00C91950">
      <w:rPr>
        <w:rFonts w:cs="Arial"/>
        <w:b/>
        <w:bCs/>
        <w:i/>
        <w:iCs/>
        <w:szCs w:val="20"/>
      </w:rPr>
      <w:t>nieruchomości</w:t>
    </w:r>
  </w:p>
  <w:p w14:paraId="3CCA7E69" w14:textId="77777777" w:rsidR="00A51B89" w:rsidRDefault="00A5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9DF"/>
    <w:multiLevelType w:val="hybridMultilevel"/>
    <w:tmpl w:val="EFC05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51CEF"/>
    <w:multiLevelType w:val="hybridMultilevel"/>
    <w:tmpl w:val="D9DA0E46"/>
    <w:lvl w:ilvl="0" w:tplc="EA10169C">
      <w:start w:val="1"/>
      <w:numFmt w:val="bullet"/>
      <w:pStyle w:val="Trjkt"/>
      <w:lvlText w:val="►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87212E"/>
        <w:sz w:val="16"/>
        <w:szCs w:val="16"/>
      </w:rPr>
    </w:lvl>
    <w:lvl w:ilvl="1" w:tplc="850C9C1A">
      <w:start w:val="1"/>
      <w:numFmt w:val="bullet"/>
      <w:pStyle w:val="Trjkt"/>
      <w:lvlText w:val="►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87212E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53E92"/>
    <w:multiLevelType w:val="hybridMultilevel"/>
    <w:tmpl w:val="6F569EA0"/>
    <w:lvl w:ilvl="0" w:tplc="FFFFFFFF">
      <w:start w:val="1"/>
      <w:numFmt w:val="none"/>
      <w:pStyle w:val="Dotyczywnagwkuspistreci"/>
      <w:lvlText w:val="%1Dotyczy:"/>
      <w:lvlJc w:val="left"/>
      <w:pPr>
        <w:tabs>
          <w:tab w:val="num" w:pos="1191"/>
        </w:tabs>
        <w:ind w:left="0" w:firstLine="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E10CB"/>
    <w:multiLevelType w:val="hybridMultilevel"/>
    <w:tmpl w:val="217614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AB90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57425B"/>
    <w:multiLevelType w:val="hybridMultilevel"/>
    <w:tmpl w:val="D916BC82"/>
    <w:lvl w:ilvl="0" w:tplc="1AF6BA1C">
      <w:start w:val="1"/>
      <w:numFmt w:val="bullet"/>
      <w:pStyle w:val="Rombtabela"/>
      <w:lvlText w:val=""/>
      <w:lvlJc w:val="left"/>
      <w:pPr>
        <w:ind w:left="1117" w:hanging="360"/>
      </w:pPr>
      <w:rPr>
        <w:rFonts w:ascii="Symbol" w:hAnsi="Symbol" w:hint="default"/>
        <w:color w:val="87212E"/>
        <w:sz w:val="20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2A0867"/>
    <w:multiLevelType w:val="hybridMultilevel"/>
    <w:tmpl w:val="049C332E"/>
    <w:lvl w:ilvl="0" w:tplc="D1A67B62">
      <w:start w:val="1"/>
      <w:numFmt w:val="bullet"/>
      <w:pStyle w:val="Kwadra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87212E"/>
        <w:sz w:val="20"/>
        <w:szCs w:val="20"/>
      </w:rPr>
    </w:lvl>
    <w:lvl w:ilvl="1" w:tplc="296EE1CC">
      <w:start w:val="1"/>
      <w:numFmt w:val="bullet"/>
      <w:lvlText w:val="►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color w:val="87212E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D5A97"/>
    <w:multiLevelType w:val="hybridMultilevel"/>
    <w:tmpl w:val="B6CE7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B0445"/>
    <w:multiLevelType w:val="hybridMultilevel"/>
    <w:tmpl w:val="FF4E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367B"/>
    <w:multiLevelType w:val="hybridMultilevel"/>
    <w:tmpl w:val="7F78860C"/>
    <w:lvl w:ilvl="0" w:tplc="2C400980">
      <w:start w:val="1"/>
      <w:numFmt w:val="bullet"/>
      <w:pStyle w:val="Kwadrattabela"/>
      <w:lvlText w:val="■"/>
      <w:lvlJc w:val="left"/>
      <w:pPr>
        <w:ind w:left="777" w:hanging="360"/>
      </w:pPr>
      <w:rPr>
        <w:rFonts w:ascii="Arial" w:hAnsi="Arial" w:hint="default"/>
        <w:color w:val="87212E"/>
        <w:sz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0DC13E0"/>
    <w:multiLevelType w:val="hybridMultilevel"/>
    <w:tmpl w:val="B92C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5642"/>
    <w:multiLevelType w:val="hybridMultilevel"/>
    <w:tmpl w:val="6310F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B87"/>
    <w:multiLevelType w:val="hybridMultilevel"/>
    <w:tmpl w:val="7A8E1E58"/>
    <w:lvl w:ilvl="0" w:tplc="07AC97F8">
      <w:start w:val="1"/>
      <w:numFmt w:val="bullet"/>
      <w:pStyle w:val="Styl1"/>
      <w:lvlText w:val=""/>
      <w:lvlJc w:val="left"/>
      <w:pPr>
        <w:ind w:left="1551" w:hanging="360"/>
      </w:pPr>
      <w:rPr>
        <w:rFonts w:ascii="Symbol" w:hAnsi="Symbol" w:hint="default"/>
        <w:color w:val="87212E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21CBA"/>
    <w:multiLevelType w:val="hybridMultilevel"/>
    <w:tmpl w:val="D15A296A"/>
    <w:lvl w:ilvl="0" w:tplc="1B54B782">
      <w:start w:val="1"/>
      <w:numFmt w:val="bullet"/>
      <w:pStyle w:val="Romb"/>
      <w:lvlText w:val=""/>
      <w:lvlJc w:val="left"/>
      <w:pPr>
        <w:tabs>
          <w:tab w:val="num" w:pos="793"/>
        </w:tabs>
        <w:ind w:left="793" w:hanging="396"/>
      </w:pPr>
      <w:rPr>
        <w:rFonts w:ascii="Symbol" w:hAnsi="Symbol" w:cs="Times New Roman" w:hint="default"/>
        <w:color w:val="87212E"/>
        <w:sz w:val="20"/>
        <w:szCs w:val="20"/>
      </w:rPr>
    </w:lvl>
    <w:lvl w:ilvl="1" w:tplc="523078B4">
      <w:start w:val="1"/>
      <w:numFmt w:val="bullet"/>
      <w:pStyle w:val="Romb"/>
      <w:lvlText w:val=""/>
      <w:lvlJc w:val="left"/>
      <w:pPr>
        <w:tabs>
          <w:tab w:val="num" w:pos="1247"/>
        </w:tabs>
        <w:ind w:left="1247" w:hanging="396"/>
      </w:pPr>
      <w:rPr>
        <w:rFonts w:ascii="Symbol" w:hAnsi="Symbol" w:cs="Times New Roman" w:hint="default"/>
        <w:color w:val="87212E"/>
        <w:sz w:val="20"/>
      </w:rPr>
    </w:lvl>
    <w:lvl w:ilvl="2" w:tplc="F904CAE4">
      <w:start w:val="1"/>
      <w:numFmt w:val="bullet"/>
      <w:lvlText w:val="►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CC0066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71358F"/>
    <w:multiLevelType w:val="hybridMultilevel"/>
    <w:tmpl w:val="F29E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64D72"/>
    <w:multiLevelType w:val="hybridMultilevel"/>
    <w:tmpl w:val="9DB2376C"/>
    <w:lvl w:ilvl="0" w:tplc="5D7269CA">
      <w:start w:val="1"/>
      <w:numFmt w:val="bullet"/>
      <w:pStyle w:val="Trjkttabela"/>
      <w:lvlText w:val="►"/>
      <w:lvlJc w:val="left"/>
      <w:pPr>
        <w:ind w:left="1514" w:hanging="360"/>
      </w:pPr>
      <w:rPr>
        <w:rFonts w:ascii="Times New Roman" w:hAnsi="Times New Roman" w:cs="Times New Roman" w:hint="default"/>
        <w:color w:val="87212E"/>
        <w:sz w:val="18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dona Górska">
    <w15:presenceInfo w15:providerId="None" w15:userId="Aldona Gó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9"/>
    <w:rsid w:val="00000612"/>
    <w:rsid w:val="000369F9"/>
    <w:rsid w:val="0005468D"/>
    <w:rsid w:val="000762C8"/>
    <w:rsid w:val="00090732"/>
    <w:rsid w:val="000A016E"/>
    <w:rsid w:val="000A48DC"/>
    <w:rsid w:val="000A7F7A"/>
    <w:rsid w:val="000C540D"/>
    <w:rsid w:val="000E1C8D"/>
    <w:rsid w:val="000F1E80"/>
    <w:rsid w:val="00103E98"/>
    <w:rsid w:val="00106C41"/>
    <w:rsid w:val="001109B6"/>
    <w:rsid w:val="001375FC"/>
    <w:rsid w:val="00140284"/>
    <w:rsid w:val="00155207"/>
    <w:rsid w:val="00182A18"/>
    <w:rsid w:val="001A78EB"/>
    <w:rsid w:val="001C08CB"/>
    <w:rsid w:val="001E1CC1"/>
    <w:rsid w:val="001E1D62"/>
    <w:rsid w:val="001E35AE"/>
    <w:rsid w:val="001F77D0"/>
    <w:rsid w:val="0020792B"/>
    <w:rsid w:val="002117E9"/>
    <w:rsid w:val="002223DC"/>
    <w:rsid w:val="00236C35"/>
    <w:rsid w:val="00242B82"/>
    <w:rsid w:val="002468BE"/>
    <w:rsid w:val="00253104"/>
    <w:rsid w:val="002C1569"/>
    <w:rsid w:val="002C41D5"/>
    <w:rsid w:val="003045F8"/>
    <w:rsid w:val="00306454"/>
    <w:rsid w:val="003244C0"/>
    <w:rsid w:val="003325D4"/>
    <w:rsid w:val="003519BD"/>
    <w:rsid w:val="00351E7F"/>
    <w:rsid w:val="0036229D"/>
    <w:rsid w:val="00362DA0"/>
    <w:rsid w:val="00380B8D"/>
    <w:rsid w:val="003B32F0"/>
    <w:rsid w:val="003C6A16"/>
    <w:rsid w:val="003D0D5D"/>
    <w:rsid w:val="003D20A0"/>
    <w:rsid w:val="003E06DC"/>
    <w:rsid w:val="00437071"/>
    <w:rsid w:val="00444827"/>
    <w:rsid w:val="004605B2"/>
    <w:rsid w:val="004677F5"/>
    <w:rsid w:val="004760D8"/>
    <w:rsid w:val="0047703E"/>
    <w:rsid w:val="004864C0"/>
    <w:rsid w:val="00494629"/>
    <w:rsid w:val="0050658F"/>
    <w:rsid w:val="0050759B"/>
    <w:rsid w:val="005076CF"/>
    <w:rsid w:val="0051487A"/>
    <w:rsid w:val="00516E2B"/>
    <w:rsid w:val="005567BD"/>
    <w:rsid w:val="00564DEB"/>
    <w:rsid w:val="005809C8"/>
    <w:rsid w:val="00581C96"/>
    <w:rsid w:val="00581D47"/>
    <w:rsid w:val="00582403"/>
    <w:rsid w:val="005B1CDB"/>
    <w:rsid w:val="005C5EA3"/>
    <w:rsid w:val="005F5722"/>
    <w:rsid w:val="00601086"/>
    <w:rsid w:val="006042CA"/>
    <w:rsid w:val="00635F76"/>
    <w:rsid w:val="00635F8A"/>
    <w:rsid w:val="0066511F"/>
    <w:rsid w:val="00673913"/>
    <w:rsid w:val="00682296"/>
    <w:rsid w:val="006B0F8D"/>
    <w:rsid w:val="006D34EB"/>
    <w:rsid w:val="00701B79"/>
    <w:rsid w:val="00707545"/>
    <w:rsid w:val="00724C7B"/>
    <w:rsid w:val="00754D63"/>
    <w:rsid w:val="00754E6C"/>
    <w:rsid w:val="00755DA8"/>
    <w:rsid w:val="0075664B"/>
    <w:rsid w:val="007644FA"/>
    <w:rsid w:val="00764BD6"/>
    <w:rsid w:val="007664BE"/>
    <w:rsid w:val="0077149E"/>
    <w:rsid w:val="00775BF5"/>
    <w:rsid w:val="00794E52"/>
    <w:rsid w:val="007D10F2"/>
    <w:rsid w:val="007E7D9C"/>
    <w:rsid w:val="00841E44"/>
    <w:rsid w:val="00860DB9"/>
    <w:rsid w:val="00871F56"/>
    <w:rsid w:val="008B69A5"/>
    <w:rsid w:val="008D764A"/>
    <w:rsid w:val="008E2977"/>
    <w:rsid w:val="008E49B8"/>
    <w:rsid w:val="00915BE5"/>
    <w:rsid w:val="00930C90"/>
    <w:rsid w:val="00950615"/>
    <w:rsid w:val="00991307"/>
    <w:rsid w:val="009955B1"/>
    <w:rsid w:val="009A6DDC"/>
    <w:rsid w:val="009C3A84"/>
    <w:rsid w:val="009D5B23"/>
    <w:rsid w:val="009E79F1"/>
    <w:rsid w:val="009F7020"/>
    <w:rsid w:val="00A05410"/>
    <w:rsid w:val="00A35674"/>
    <w:rsid w:val="00A51B89"/>
    <w:rsid w:val="00A55C3F"/>
    <w:rsid w:val="00A75800"/>
    <w:rsid w:val="00AA7732"/>
    <w:rsid w:val="00AB371C"/>
    <w:rsid w:val="00AC27A9"/>
    <w:rsid w:val="00AE377D"/>
    <w:rsid w:val="00AE4D59"/>
    <w:rsid w:val="00B136F8"/>
    <w:rsid w:val="00B30289"/>
    <w:rsid w:val="00B34A47"/>
    <w:rsid w:val="00B43FD0"/>
    <w:rsid w:val="00B4551A"/>
    <w:rsid w:val="00B463AC"/>
    <w:rsid w:val="00B54AEA"/>
    <w:rsid w:val="00B722CB"/>
    <w:rsid w:val="00B7596D"/>
    <w:rsid w:val="00B92802"/>
    <w:rsid w:val="00B9411F"/>
    <w:rsid w:val="00B97A03"/>
    <w:rsid w:val="00BC5B3B"/>
    <w:rsid w:val="00BD5990"/>
    <w:rsid w:val="00BF7974"/>
    <w:rsid w:val="00C07BC5"/>
    <w:rsid w:val="00C110C7"/>
    <w:rsid w:val="00C12513"/>
    <w:rsid w:val="00C32C93"/>
    <w:rsid w:val="00C91950"/>
    <w:rsid w:val="00CB4747"/>
    <w:rsid w:val="00CB5F6A"/>
    <w:rsid w:val="00CD0CF3"/>
    <w:rsid w:val="00CF2B6E"/>
    <w:rsid w:val="00D47BCD"/>
    <w:rsid w:val="00D50EAD"/>
    <w:rsid w:val="00D67B18"/>
    <w:rsid w:val="00D73C23"/>
    <w:rsid w:val="00D87BEC"/>
    <w:rsid w:val="00D91637"/>
    <w:rsid w:val="00DA3B03"/>
    <w:rsid w:val="00DB2411"/>
    <w:rsid w:val="00DC0263"/>
    <w:rsid w:val="00E04625"/>
    <w:rsid w:val="00E23001"/>
    <w:rsid w:val="00E33015"/>
    <w:rsid w:val="00E43CDD"/>
    <w:rsid w:val="00E443D6"/>
    <w:rsid w:val="00E71DB2"/>
    <w:rsid w:val="00E9009B"/>
    <w:rsid w:val="00EB5C56"/>
    <w:rsid w:val="00EC0C91"/>
    <w:rsid w:val="00ED4DB0"/>
    <w:rsid w:val="00EE3BFB"/>
    <w:rsid w:val="00F01CCE"/>
    <w:rsid w:val="00F05D8F"/>
    <w:rsid w:val="00F13503"/>
    <w:rsid w:val="00F23139"/>
    <w:rsid w:val="00F34ADF"/>
    <w:rsid w:val="00F37784"/>
    <w:rsid w:val="00F37B13"/>
    <w:rsid w:val="00F529C2"/>
    <w:rsid w:val="00F936AA"/>
    <w:rsid w:val="00FA04D4"/>
    <w:rsid w:val="00FA757F"/>
    <w:rsid w:val="00FB3187"/>
    <w:rsid w:val="00FB3EA1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4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B0"/>
    <w:pPr>
      <w:spacing w:after="120" w:line="240" w:lineRule="auto"/>
      <w:jc w:val="both"/>
    </w:pPr>
    <w:rPr>
      <w:rFonts w:ascii="Arial" w:eastAsia="Times New Roman" w:hAnsi="Arial"/>
      <w:bCs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C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F2C34"/>
  </w:style>
  <w:style w:type="paragraph" w:styleId="Stopka">
    <w:name w:val="footer"/>
    <w:basedOn w:val="Normalny"/>
    <w:link w:val="StopkaZnak"/>
    <w:uiPriority w:val="99"/>
    <w:unhideWhenUsed/>
    <w:rsid w:val="00FF2C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F2C34"/>
  </w:style>
  <w:style w:type="paragraph" w:customStyle="1" w:styleId="Nagwektyturozdziau">
    <w:name w:val="Nagłówek _tytuł rozdziału"/>
    <w:basedOn w:val="Normalny"/>
    <w:next w:val="Normalny"/>
    <w:rsid w:val="00FF2C34"/>
    <w:pPr>
      <w:spacing w:line="220" w:lineRule="exact"/>
    </w:pPr>
    <w:rPr>
      <w:color w:val="87212E"/>
      <w:szCs w:val="18"/>
    </w:rPr>
  </w:style>
  <w:style w:type="paragraph" w:customStyle="1" w:styleId="Nagwekpodrozdzia">
    <w:name w:val="Nagłówek _podrozdział"/>
    <w:basedOn w:val="Normalny"/>
    <w:next w:val="Normalny"/>
    <w:rsid w:val="00FF2C34"/>
    <w:pPr>
      <w:framePr w:w="2268" w:h="7742" w:hRule="exact" w:hSpace="181" w:wrap="around" w:vAnchor="page" w:hAnchor="page" w:x="568" w:y="1022" w:anchorLock="1"/>
    </w:pPr>
  </w:style>
  <w:style w:type="paragraph" w:customStyle="1" w:styleId="NagwekpodrozdziaIIstopnia">
    <w:name w:val="Nagłówek _podrozdział II stopnia"/>
    <w:basedOn w:val="Nagwekpodrozdzia"/>
    <w:rsid w:val="00FF2C34"/>
    <w:pPr>
      <w:framePr w:w="1985" w:h="7740" w:hRule="exact" w:wrap="around"/>
    </w:pPr>
    <w:rPr>
      <w:noProof/>
      <w:sz w:val="18"/>
    </w:rPr>
  </w:style>
  <w:style w:type="paragraph" w:customStyle="1" w:styleId="tytul1">
    <w:name w:val="tytul_1"/>
    <w:basedOn w:val="Normalny"/>
    <w:next w:val="Normalny"/>
    <w:rsid w:val="00FF2C34"/>
    <w:pPr>
      <w:spacing w:after="480" w:line="440" w:lineRule="exact"/>
    </w:pPr>
    <w:rPr>
      <w:b/>
      <w:color w:val="87212E"/>
      <w:sz w:val="36"/>
      <w:szCs w:val="36"/>
    </w:rPr>
  </w:style>
  <w:style w:type="paragraph" w:customStyle="1" w:styleId="tytul2">
    <w:name w:val="tytul_2"/>
    <w:basedOn w:val="Normalny"/>
    <w:next w:val="Normalny"/>
    <w:rsid w:val="00FF2C34"/>
    <w:pPr>
      <w:spacing w:after="360" w:line="360" w:lineRule="exact"/>
    </w:pPr>
    <w:rPr>
      <w:b/>
      <w:sz w:val="32"/>
      <w:szCs w:val="32"/>
    </w:rPr>
  </w:style>
  <w:style w:type="paragraph" w:customStyle="1" w:styleId="tytul3">
    <w:name w:val="tytul_3"/>
    <w:basedOn w:val="Normalny"/>
    <w:next w:val="Normalny"/>
    <w:rsid w:val="00FF2C34"/>
    <w:pPr>
      <w:spacing w:after="240" w:line="280" w:lineRule="exact"/>
    </w:pPr>
    <w:rPr>
      <w:b/>
      <w:sz w:val="24"/>
    </w:rPr>
  </w:style>
  <w:style w:type="paragraph" w:customStyle="1" w:styleId="Kwadrat">
    <w:name w:val="Kwadrat"/>
    <w:basedOn w:val="Normalny"/>
    <w:rsid w:val="00FF2C34"/>
    <w:pPr>
      <w:numPr>
        <w:numId w:val="1"/>
      </w:numPr>
      <w:spacing w:before="120" w:after="0" w:line="300" w:lineRule="exact"/>
    </w:pPr>
  </w:style>
  <w:style w:type="paragraph" w:customStyle="1" w:styleId="Romb">
    <w:name w:val="Romb"/>
    <w:basedOn w:val="Normalny"/>
    <w:rsid w:val="00FF2C34"/>
    <w:pPr>
      <w:numPr>
        <w:ilvl w:val="1"/>
        <w:numId w:val="2"/>
      </w:numPr>
      <w:tabs>
        <w:tab w:val="clear" w:pos="1247"/>
        <w:tab w:val="num" w:pos="793"/>
      </w:tabs>
      <w:spacing w:before="60" w:after="0" w:line="300" w:lineRule="exact"/>
      <w:ind w:left="794" w:hanging="397"/>
    </w:pPr>
    <w:rPr>
      <w:rFonts w:cs="Arial"/>
    </w:rPr>
  </w:style>
  <w:style w:type="paragraph" w:customStyle="1" w:styleId="Trjkt">
    <w:name w:val="Trójkąt"/>
    <w:basedOn w:val="Normalny"/>
    <w:rsid w:val="00FF2C34"/>
    <w:pPr>
      <w:numPr>
        <w:ilvl w:val="1"/>
        <w:numId w:val="3"/>
      </w:numPr>
      <w:spacing w:before="60" w:after="0" w:line="300" w:lineRule="exact"/>
    </w:pPr>
  </w:style>
  <w:style w:type="paragraph" w:customStyle="1" w:styleId="Styl1">
    <w:name w:val="Styl1"/>
    <w:basedOn w:val="Normalny"/>
    <w:qFormat/>
    <w:rsid w:val="00351E7F"/>
    <w:pPr>
      <w:numPr>
        <w:numId w:val="4"/>
      </w:numPr>
      <w:tabs>
        <w:tab w:val="left" w:pos="1588"/>
      </w:tabs>
      <w:spacing w:before="120"/>
      <w:ind w:left="1588" w:hanging="397"/>
    </w:pPr>
  </w:style>
  <w:style w:type="paragraph" w:customStyle="1" w:styleId="Kwadrattabela">
    <w:name w:val="Kwadrat_tabela"/>
    <w:basedOn w:val="Kwadrat"/>
    <w:rsid w:val="00351E7F"/>
    <w:pPr>
      <w:numPr>
        <w:numId w:val="5"/>
      </w:numPr>
      <w:tabs>
        <w:tab w:val="left" w:pos="397"/>
      </w:tabs>
      <w:spacing w:before="40" w:after="40" w:line="240" w:lineRule="exact"/>
      <w:ind w:left="397" w:hanging="340"/>
    </w:pPr>
    <w:rPr>
      <w:sz w:val="18"/>
      <w:szCs w:val="18"/>
    </w:rPr>
  </w:style>
  <w:style w:type="paragraph" w:customStyle="1" w:styleId="Rombtabela">
    <w:name w:val="Romb_tabela"/>
    <w:basedOn w:val="Romb"/>
    <w:rsid w:val="00351E7F"/>
    <w:pPr>
      <w:numPr>
        <w:ilvl w:val="0"/>
        <w:numId w:val="6"/>
      </w:numPr>
      <w:tabs>
        <w:tab w:val="left" w:pos="794"/>
      </w:tabs>
      <w:spacing w:before="0" w:line="240" w:lineRule="exact"/>
      <w:ind w:left="794" w:hanging="397"/>
    </w:pPr>
    <w:rPr>
      <w:sz w:val="18"/>
      <w:szCs w:val="18"/>
    </w:rPr>
  </w:style>
  <w:style w:type="paragraph" w:customStyle="1" w:styleId="Trjkttabela">
    <w:name w:val="Trójkąt_tabela"/>
    <w:basedOn w:val="Trjkt"/>
    <w:rsid w:val="00351E7F"/>
    <w:pPr>
      <w:numPr>
        <w:ilvl w:val="0"/>
        <w:numId w:val="7"/>
      </w:numPr>
      <w:tabs>
        <w:tab w:val="left" w:pos="1191"/>
      </w:tabs>
      <w:spacing w:before="0" w:line="240" w:lineRule="exact"/>
      <w:ind w:left="1191" w:hanging="397"/>
    </w:pPr>
    <w:rPr>
      <w:sz w:val="18"/>
    </w:rPr>
  </w:style>
  <w:style w:type="paragraph" w:customStyle="1" w:styleId="Dotyczywnagwkuspistreci">
    <w:name w:val="Dotyczy w nagłówku (spis treści)"/>
    <w:basedOn w:val="Normalny"/>
    <w:next w:val="Normalny"/>
    <w:rsid w:val="00ED4DB0"/>
    <w:pPr>
      <w:numPr>
        <w:numId w:val="8"/>
      </w:numPr>
      <w:tabs>
        <w:tab w:val="left" w:pos="907"/>
      </w:tabs>
      <w:spacing w:line="220" w:lineRule="exact"/>
      <w:jc w:val="left"/>
    </w:pPr>
    <w:rPr>
      <w:i/>
      <w:sz w:val="18"/>
      <w:szCs w:val="18"/>
    </w:rPr>
  </w:style>
  <w:style w:type="character" w:styleId="Hipercze">
    <w:name w:val="Hyperlink"/>
    <w:basedOn w:val="Domylnaczcionkaakapitu"/>
    <w:rsid w:val="00ED4DB0"/>
    <w:rPr>
      <w:rFonts w:ascii="Arial" w:hAnsi="Arial"/>
      <w:b/>
      <w:color w:val="auto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682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9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B8"/>
    <w:rPr>
      <w:rFonts w:ascii="Segoe UI" w:eastAsia="Times New Roman" w:hAnsi="Segoe UI" w:cs="Segoe UI"/>
      <w:bCs w:val="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8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84"/>
    <w:rPr>
      <w:rFonts w:ascii="Arial" w:eastAsia="Times New Roman" w:hAnsi="Arial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84"/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2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56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B0"/>
    <w:pPr>
      <w:spacing w:after="120" w:line="240" w:lineRule="auto"/>
      <w:jc w:val="both"/>
    </w:pPr>
    <w:rPr>
      <w:rFonts w:ascii="Arial" w:eastAsia="Times New Roman" w:hAnsi="Arial"/>
      <w:bCs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C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F2C34"/>
  </w:style>
  <w:style w:type="paragraph" w:styleId="Stopka">
    <w:name w:val="footer"/>
    <w:basedOn w:val="Normalny"/>
    <w:link w:val="StopkaZnak"/>
    <w:uiPriority w:val="99"/>
    <w:unhideWhenUsed/>
    <w:rsid w:val="00FF2C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F2C34"/>
  </w:style>
  <w:style w:type="paragraph" w:customStyle="1" w:styleId="Nagwektyturozdziau">
    <w:name w:val="Nagłówek _tytuł rozdziału"/>
    <w:basedOn w:val="Normalny"/>
    <w:next w:val="Normalny"/>
    <w:rsid w:val="00FF2C34"/>
    <w:pPr>
      <w:spacing w:line="220" w:lineRule="exact"/>
    </w:pPr>
    <w:rPr>
      <w:color w:val="87212E"/>
      <w:szCs w:val="18"/>
    </w:rPr>
  </w:style>
  <w:style w:type="paragraph" w:customStyle="1" w:styleId="Nagwekpodrozdzia">
    <w:name w:val="Nagłówek _podrozdział"/>
    <w:basedOn w:val="Normalny"/>
    <w:next w:val="Normalny"/>
    <w:rsid w:val="00FF2C34"/>
    <w:pPr>
      <w:framePr w:w="2268" w:h="7742" w:hRule="exact" w:hSpace="181" w:wrap="around" w:vAnchor="page" w:hAnchor="page" w:x="568" w:y="1022" w:anchorLock="1"/>
    </w:pPr>
  </w:style>
  <w:style w:type="paragraph" w:customStyle="1" w:styleId="NagwekpodrozdziaIIstopnia">
    <w:name w:val="Nagłówek _podrozdział II stopnia"/>
    <w:basedOn w:val="Nagwekpodrozdzia"/>
    <w:rsid w:val="00FF2C34"/>
    <w:pPr>
      <w:framePr w:w="1985" w:h="7740" w:hRule="exact" w:wrap="around"/>
    </w:pPr>
    <w:rPr>
      <w:noProof/>
      <w:sz w:val="18"/>
    </w:rPr>
  </w:style>
  <w:style w:type="paragraph" w:customStyle="1" w:styleId="tytul1">
    <w:name w:val="tytul_1"/>
    <w:basedOn w:val="Normalny"/>
    <w:next w:val="Normalny"/>
    <w:rsid w:val="00FF2C34"/>
    <w:pPr>
      <w:spacing w:after="480" w:line="440" w:lineRule="exact"/>
    </w:pPr>
    <w:rPr>
      <w:b/>
      <w:color w:val="87212E"/>
      <w:sz w:val="36"/>
      <w:szCs w:val="36"/>
    </w:rPr>
  </w:style>
  <w:style w:type="paragraph" w:customStyle="1" w:styleId="tytul2">
    <w:name w:val="tytul_2"/>
    <w:basedOn w:val="Normalny"/>
    <w:next w:val="Normalny"/>
    <w:rsid w:val="00FF2C34"/>
    <w:pPr>
      <w:spacing w:after="360" w:line="360" w:lineRule="exact"/>
    </w:pPr>
    <w:rPr>
      <w:b/>
      <w:sz w:val="32"/>
      <w:szCs w:val="32"/>
    </w:rPr>
  </w:style>
  <w:style w:type="paragraph" w:customStyle="1" w:styleId="tytul3">
    <w:name w:val="tytul_3"/>
    <w:basedOn w:val="Normalny"/>
    <w:next w:val="Normalny"/>
    <w:rsid w:val="00FF2C34"/>
    <w:pPr>
      <w:spacing w:after="240" w:line="280" w:lineRule="exact"/>
    </w:pPr>
    <w:rPr>
      <w:b/>
      <w:sz w:val="24"/>
    </w:rPr>
  </w:style>
  <w:style w:type="paragraph" w:customStyle="1" w:styleId="Kwadrat">
    <w:name w:val="Kwadrat"/>
    <w:basedOn w:val="Normalny"/>
    <w:rsid w:val="00FF2C34"/>
    <w:pPr>
      <w:numPr>
        <w:numId w:val="1"/>
      </w:numPr>
      <w:spacing w:before="120" w:after="0" w:line="300" w:lineRule="exact"/>
    </w:pPr>
  </w:style>
  <w:style w:type="paragraph" w:customStyle="1" w:styleId="Romb">
    <w:name w:val="Romb"/>
    <w:basedOn w:val="Normalny"/>
    <w:rsid w:val="00FF2C34"/>
    <w:pPr>
      <w:numPr>
        <w:ilvl w:val="1"/>
        <w:numId w:val="2"/>
      </w:numPr>
      <w:tabs>
        <w:tab w:val="clear" w:pos="1247"/>
        <w:tab w:val="num" w:pos="793"/>
      </w:tabs>
      <w:spacing w:before="60" w:after="0" w:line="300" w:lineRule="exact"/>
      <w:ind w:left="794" w:hanging="397"/>
    </w:pPr>
    <w:rPr>
      <w:rFonts w:cs="Arial"/>
    </w:rPr>
  </w:style>
  <w:style w:type="paragraph" w:customStyle="1" w:styleId="Trjkt">
    <w:name w:val="Trójkąt"/>
    <w:basedOn w:val="Normalny"/>
    <w:rsid w:val="00FF2C34"/>
    <w:pPr>
      <w:numPr>
        <w:ilvl w:val="1"/>
        <w:numId w:val="3"/>
      </w:numPr>
      <w:spacing w:before="60" w:after="0" w:line="300" w:lineRule="exact"/>
    </w:pPr>
  </w:style>
  <w:style w:type="paragraph" w:customStyle="1" w:styleId="Styl1">
    <w:name w:val="Styl1"/>
    <w:basedOn w:val="Normalny"/>
    <w:qFormat/>
    <w:rsid w:val="00351E7F"/>
    <w:pPr>
      <w:numPr>
        <w:numId w:val="4"/>
      </w:numPr>
      <w:tabs>
        <w:tab w:val="left" w:pos="1588"/>
      </w:tabs>
      <w:spacing w:before="120"/>
      <w:ind w:left="1588" w:hanging="397"/>
    </w:pPr>
  </w:style>
  <w:style w:type="paragraph" w:customStyle="1" w:styleId="Kwadrattabela">
    <w:name w:val="Kwadrat_tabela"/>
    <w:basedOn w:val="Kwadrat"/>
    <w:rsid w:val="00351E7F"/>
    <w:pPr>
      <w:numPr>
        <w:numId w:val="5"/>
      </w:numPr>
      <w:tabs>
        <w:tab w:val="left" w:pos="397"/>
      </w:tabs>
      <w:spacing w:before="40" w:after="40" w:line="240" w:lineRule="exact"/>
      <w:ind w:left="397" w:hanging="340"/>
    </w:pPr>
    <w:rPr>
      <w:sz w:val="18"/>
      <w:szCs w:val="18"/>
    </w:rPr>
  </w:style>
  <w:style w:type="paragraph" w:customStyle="1" w:styleId="Rombtabela">
    <w:name w:val="Romb_tabela"/>
    <w:basedOn w:val="Romb"/>
    <w:rsid w:val="00351E7F"/>
    <w:pPr>
      <w:numPr>
        <w:ilvl w:val="0"/>
        <w:numId w:val="6"/>
      </w:numPr>
      <w:tabs>
        <w:tab w:val="left" w:pos="794"/>
      </w:tabs>
      <w:spacing w:before="0" w:line="240" w:lineRule="exact"/>
      <w:ind w:left="794" w:hanging="397"/>
    </w:pPr>
    <w:rPr>
      <w:sz w:val="18"/>
      <w:szCs w:val="18"/>
    </w:rPr>
  </w:style>
  <w:style w:type="paragraph" w:customStyle="1" w:styleId="Trjkttabela">
    <w:name w:val="Trójkąt_tabela"/>
    <w:basedOn w:val="Trjkt"/>
    <w:rsid w:val="00351E7F"/>
    <w:pPr>
      <w:numPr>
        <w:ilvl w:val="0"/>
        <w:numId w:val="7"/>
      </w:numPr>
      <w:tabs>
        <w:tab w:val="left" w:pos="1191"/>
      </w:tabs>
      <w:spacing w:before="0" w:line="240" w:lineRule="exact"/>
      <w:ind w:left="1191" w:hanging="397"/>
    </w:pPr>
    <w:rPr>
      <w:sz w:val="18"/>
    </w:rPr>
  </w:style>
  <w:style w:type="paragraph" w:customStyle="1" w:styleId="Dotyczywnagwkuspistreci">
    <w:name w:val="Dotyczy w nagłówku (spis treści)"/>
    <w:basedOn w:val="Normalny"/>
    <w:next w:val="Normalny"/>
    <w:rsid w:val="00ED4DB0"/>
    <w:pPr>
      <w:numPr>
        <w:numId w:val="8"/>
      </w:numPr>
      <w:tabs>
        <w:tab w:val="left" w:pos="907"/>
      </w:tabs>
      <w:spacing w:line="220" w:lineRule="exact"/>
      <w:jc w:val="left"/>
    </w:pPr>
    <w:rPr>
      <w:i/>
      <w:sz w:val="18"/>
      <w:szCs w:val="18"/>
    </w:rPr>
  </w:style>
  <w:style w:type="character" w:styleId="Hipercze">
    <w:name w:val="Hyperlink"/>
    <w:basedOn w:val="Domylnaczcionkaakapitu"/>
    <w:rsid w:val="00ED4DB0"/>
    <w:rPr>
      <w:rFonts w:ascii="Arial" w:hAnsi="Arial"/>
      <w:b/>
      <w:color w:val="auto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682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9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B8"/>
    <w:rPr>
      <w:rFonts w:ascii="Segoe UI" w:eastAsia="Times New Roman" w:hAnsi="Segoe UI" w:cs="Segoe UI"/>
      <w:bCs w:val="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8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84"/>
    <w:rPr>
      <w:rFonts w:ascii="Arial" w:eastAsia="Times New Roman" w:hAnsi="Arial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84"/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2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5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krasinski@grupamtp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ion%20short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Pion short.dotm</Template>
  <TotalTime>1</TotalTime>
  <Pages>5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Paulina Dziarłowska</cp:lastModifiedBy>
  <cp:revision>2</cp:revision>
  <cp:lastPrinted>2021-04-08T06:37:00Z</cp:lastPrinted>
  <dcterms:created xsi:type="dcterms:W3CDTF">2021-04-12T13:51:00Z</dcterms:created>
  <dcterms:modified xsi:type="dcterms:W3CDTF">2021-04-12T13:51:00Z</dcterms:modified>
</cp:coreProperties>
</file>